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5831" w:rsidRDefault="00845831">
      <w:pPr>
        <w:spacing w:before="156" w:after="156"/>
        <w:ind w:firstLineChars="0" w:firstLine="0"/>
        <w:jc w:val="center"/>
        <w:outlineLvl w:val="0"/>
        <w:rPr>
          <w:rFonts w:ascii="宋体" w:hAnsi="宋体" w:cs="宋体"/>
          <w:b/>
          <w:sz w:val="48"/>
          <w:szCs w:val="48"/>
        </w:rPr>
      </w:pPr>
    </w:p>
    <w:p w:rsidR="00845831" w:rsidRDefault="00845831">
      <w:pPr>
        <w:spacing w:before="156" w:after="156"/>
        <w:ind w:firstLineChars="0" w:firstLine="0"/>
        <w:jc w:val="center"/>
        <w:outlineLvl w:val="0"/>
        <w:rPr>
          <w:rFonts w:ascii="宋体" w:hAnsi="宋体" w:cs="宋体"/>
          <w:b/>
          <w:sz w:val="48"/>
          <w:szCs w:val="48"/>
        </w:rPr>
      </w:pPr>
    </w:p>
    <w:p w:rsidR="00845831" w:rsidRDefault="00845831">
      <w:pPr>
        <w:spacing w:before="156" w:after="156"/>
        <w:ind w:firstLineChars="0" w:firstLine="0"/>
        <w:jc w:val="center"/>
        <w:outlineLvl w:val="0"/>
        <w:rPr>
          <w:rFonts w:ascii="宋体" w:hAnsi="宋体" w:cs="宋体"/>
          <w:b/>
          <w:sz w:val="48"/>
          <w:szCs w:val="48"/>
        </w:rPr>
      </w:pPr>
    </w:p>
    <w:p w:rsidR="00845831" w:rsidRDefault="00297B50">
      <w:pPr>
        <w:spacing w:before="156" w:after="156"/>
        <w:ind w:firstLineChars="0" w:firstLine="0"/>
        <w:jc w:val="center"/>
        <w:outlineLvl w:val="0"/>
        <w:rPr>
          <w:rFonts w:ascii="宋体" w:hAnsi="宋体" w:cs="宋体"/>
          <w:b/>
          <w:sz w:val="48"/>
          <w:szCs w:val="48"/>
        </w:rPr>
      </w:pPr>
      <w:r>
        <w:rPr>
          <w:rFonts w:ascii="宋体" w:hAnsi="宋体" w:cs="宋体" w:hint="eastAsia"/>
          <w:b/>
          <w:sz w:val="48"/>
          <w:szCs w:val="48"/>
        </w:rPr>
        <w:t>《肥料中赤霉酸含量的测定</w:t>
      </w:r>
      <w:r>
        <w:rPr>
          <w:rFonts w:ascii="宋体" w:hAnsi="宋体" w:cs="宋体" w:hint="eastAsia"/>
          <w:b/>
          <w:sz w:val="48"/>
          <w:szCs w:val="48"/>
        </w:rPr>
        <w:t xml:space="preserve"> </w:t>
      </w:r>
      <w:r>
        <w:rPr>
          <w:rFonts w:ascii="宋体" w:hAnsi="宋体" w:cs="宋体" w:hint="eastAsia"/>
          <w:b/>
          <w:sz w:val="48"/>
          <w:szCs w:val="48"/>
        </w:rPr>
        <w:t>高效液相色谱</w:t>
      </w:r>
      <w:r>
        <w:rPr>
          <w:rFonts w:ascii="宋体" w:hAnsi="宋体" w:cs="宋体" w:hint="eastAsia"/>
          <w:b/>
          <w:sz w:val="48"/>
          <w:szCs w:val="48"/>
        </w:rPr>
        <w:t>-</w:t>
      </w:r>
      <w:r>
        <w:rPr>
          <w:rFonts w:ascii="宋体" w:hAnsi="宋体" w:cs="宋体" w:hint="eastAsia"/>
          <w:b/>
          <w:sz w:val="48"/>
          <w:szCs w:val="48"/>
        </w:rPr>
        <w:t>质谱联用仪法》</w:t>
      </w:r>
    </w:p>
    <w:p w:rsidR="00845831" w:rsidRDefault="00845831">
      <w:pPr>
        <w:spacing w:before="156" w:after="156"/>
        <w:ind w:firstLine="880"/>
        <w:jc w:val="center"/>
        <w:outlineLvl w:val="0"/>
        <w:rPr>
          <w:rFonts w:ascii="宋体" w:hAnsi="宋体" w:cs="宋体"/>
          <w:sz w:val="44"/>
          <w:szCs w:val="44"/>
        </w:rPr>
      </w:pPr>
    </w:p>
    <w:p w:rsidR="00845831" w:rsidRDefault="00845831">
      <w:pPr>
        <w:spacing w:before="156" w:after="156"/>
        <w:ind w:firstLine="880"/>
        <w:jc w:val="center"/>
        <w:outlineLvl w:val="0"/>
        <w:rPr>
          <w:rFonts w:ascii="宋体" w:hAnsi="宋体" w:cs="宋体"/>
          <w:sz w:val="44"/>
          <w:szCs w:val="44"/>
        </w:rPr>
      </w:pPr>
    </w:p>
    <w:p w:rsidR="00845831" w:rsidRDefault="00297B50">
      <w:pPr>
        <w:spacing w:before="156" w:after="156"/>
        <w:ind w:firstLineChars="0" w:firstLine="0"/>
        <w:jc w:val="center"/>
        <w:outlineLvl w:val="0"/>
        <w:rPr>
          <w:rFonts w:ascii="宋体" w:hAnsi="宋体" w:cs="宋体"/>
          <w:sz w:val="44"/>
          <w:szCs w:val="44"/>
        </w:rPr>
      </w:pPr>
      <w:r>
        <w:rPr>
          <w:rFonts w:ascii="宋体" w:hAnsi="宋体" w:cs="宋体" w:hint="eastAsia"/>
          <w:sz w:val="44"/>
          <w:szCs w:val="44"/>
        </w:rPr>
        <w:t>国家标准编制说明</w:t>
      </w:r>
    </w:p>
    <w:p w:rsidR="00845831" w:rsidRDefault="00845831">
      <w:pPr>
        <w:spacing w:before="156" w:after="156"/>
        <w:ind w:firstLine="880"/>
        <w:jc w:val="center"/>
        <w:outlineLvl w:val="0"/>
        <w:rPr>
          <w:rFonts w:ascii="宋体" w:hAnsi="宋体" w:cs="宋体"/>
          <w:sz w:val="44"/>
          <w:szCs w:val="44"/>
        </w:rPr>
      </w:pPr>
    </w:p>
    <w:p w:rsidR="00845831" w:rsidRDefault="00297B50">
      <w:pPr>
        <w:pStyle w:val="ab"/>
        <w:ind w:leftChars="0" w:left="0"/>
        <w:jc w:val="center"/>
        <w:rPr>
          <w:rFonts w:ascii="宋体" w:hAnsi="宋体" w:cs="宋体"/>
          <w:sz w:val="30"/>
          <w:szCs w:val="30"/>
        </w:rPr>
      </w:pPr>
      <w:r>
        <w:rPr>
          <w:rFonts w:ascii="宋体" w:hAnsi="宋体" w:cs="宋体" w:hint="eastAsia"/>
          <w:b/>
          <w:sz w:val="30"/>
          <w:szCs w:val="30"/>
        </w:rPr>
        <w:t>(</w:t>
      </w:r>
      <w:r w:rsidR="00F51F7C">
        <w:rPr>
          <w:rFonts w:ascii="宋体" w:hAnsi="宋体" w:cs="宋体" w:hint="eastAsia"/>
          <w:b/>
          <w:sz w:val="30"/>
          <w:szCs w:val="30"/>
        </w:rPr>
        <w:t>送审</w:t>
      </w:r>
      <w:r>
        <w:rPr>
          <w:rFonts w:ascii="宋体" w:hAnsi="宋体" w:cs="宋体" w:hint="eastAsia"/>
          <w:b/>
          <w:sz w:val="30"/>
          <w:szCs w:val="30"/>
        </w:rPr>
        <w:t>稿</w:t>
      </w:r>
      <w:r>
        <w:rPr>
          <w:rFonts w:ascii="宋体" w:hAnsi="宋体" w:cs="宋体" w:hint="eastAsia"/>
          <w:b/>
          <w:sz w:val="30"/>
          <w:szCs w:val="30"/>
        </w:rPr>
        <w:t>)</w:t>
      </w:r>
    </w:p>
    <w:p w:rsidR="00845831" w:rsidRPr="00F51F7C" w:rsidRDefault="00845831">
      <w:pPr>
        <w:pStyle w:val="ab"/>
        <w:ind w:leftChars="0" w:left="0"/>
        <w:rPr>
          <w:rFonts w:ascii="宋体" w:hAnsi="宋体" w:cs="宋体"/>
          <w:sz w:val="44"/>
          <w:szCs w:val="44"/>
        </w:rPr>
      </w:pPr>
    </w:p>
    <w:p w:rsidR="00845831" w:rsidRDefault="00845831">
      <w:pPr>
        <w:pStyle w:val="ab"/>
        <w:ind w:leftChars="0" w:left="0"/>
        <w:rPr>
          <w:rFonts w:ascii="宋体" w:hAnsi="宋体" w:cs="宋体"/>
          <w:sz w:val="36"/>
          <w:szCs w:val="36"/>
        </w:rPr>
      </w:pPr>
    </w:p>
    <w:p w:rsidR="00845831" w:rsidRDefault="00845831">
      <w:pPr>
        <w:pStyle w:val="ab"/>
        <w:spacing w:line="400" w:lineRule="exact"/>
        <w:ind w:leftChars="0" w:left="0"/>
        <w:rPr>
          <w:rFonts w:ascii="宋体" w:hAnsi="宋体"/>
          <w:sz w:val="28"/>
          <w:szCs w:val="28"/>
        </w:rPr>
      </w:pPr>
    </w:p>
    <w:p w:rsidR="00845831" w:rsidRDefault="00845831">
      <w:pPr>
        <w:pStyle w:val="ab"/>
        <w:spacing w:line="400" w:lineRule="exact"/>
        <w:ind w:leftChars="0" w:left="0"/>
        <w:rPr>
          <w:rFonts w:ascii="宋体" w:hAnsi="宋体"/>
          <w:sz w:val="28"/>
          <w:szCs w:val="28"/>
        </w:rPr>
      </w:pPr>
    </w:p>
    <w:p w:rsidR="00845831" w:rsidRDefault="00845831">
      <w:pPr>
        <w:spacing w:before="156" w:after="156" w:line="400" w:lineRule="exact"/>
        <w:ind w:firstLine="560"/>
        <w:rPr>
          <w:rFonts w:ascii="宋体" w:hAnsi="宋体"/>
          <w:sz w:val="28"/>
          <w:szCs w:val="28"/>
        </w:rPr>
      </w:pPr>
    </w:p>
    <w:p w:rsidR="00845831" w:rsidRDefault="00845831">
      <w:pPr>
        <w:spacing w:before="156" w:after="156" w:line="400" w:lineRule="exact"/>
        <w:ind w:firstLine="560"/>
        <w:rPr>
          <w:rFonts w:ascii="宋体" w:hAnsi="宋体"/>
          <w:sz w:val="28"/>
          <w:szCs w:val="28"/>
        </w:rPr>
      </w:pPr>
    </w:p>
    <w:p w:rsidR="00845831" w:rsidRDefault="00845831">
      <w:pPr>
        <w:spacing w:before="156" w:after="156" w:line="400" w:lineRule="exact"/>
        <w:ind w:firstLine="560"/>
        <w:rPr>
          <w:rFonts w:ascii="宋体" w:hAnsi="宋体"/>
          <w:sz w:val="28"/>
          <w:szCs w:val="28"/>
        </w:rPr>
      </w:pPr>
    </w:p>
    <w:p w:rsidR="00845831" w:rsidRDefault="00845831">
      <w:pPr>
        <w:pStyle w:val="a9"/>
        <w:rPr>
          <w:rFonts w:ascii="宋体" w:hAnsi="宋体"/>
          <w:sz w:val="28"/>
          <w:szCs w:val="28"/>
        </w:rPr>
      </w:pPr>
    </w:p>
    <w:p w:rsidR="00845831" w:rsidRDefault="00297B50">
      <w:pPr>
        <w:spacing w:before="156" w:after="156"/>
        <w:ind w:firstLine="643"/>
        <w:jc w:val="center"/>
        <w:rPr>
          <w:rFonts w:ascii="宋体" w:hAnsi="宋体"/>
          <w:b/>
          <w:bCs/>
          <w:sz w:val="44"/>
          <w:szCs w:val="44"/>
        </w:rPr>
      </w:pPr>
      <w:r>
        <w:rPr>
          <w:rFonts w:ascii="宋体" w:hAnsi="宋体" w:hint="eastAsia"/>
          <w:b/>
          <w:sz w:val="32"/>
          <w:szCs w:val="32"/>
        </w:rPr>
        <w:t>山东省产品质量检验研究院</w:t>
      </w:r>
    </w:p>
    <w:p w:rsidR="00845831" w:rsidRDefault="00297B50">
      <w:pPr>
        <w:spacing w:before="156" w:after="156"/>
        <w:ind w:firstLine="643"/>
        <w:jc w:val="center"/>
        <w:rPr>
          <w:rFonts w:ascii="宋体" w:hAnsi="宋体"/>
          <w:b/>
          <w:bCs/>
          <w:sz w:val="32"/>
          <w:szCs w:val="32"/>
        </w:rPr>
      </w:pPr>
      <w:r>
        <w:rPr>
          <w:rFonts w:ascii="宋体" w:hAnsi="宋体" w:hint="eastAsia"/>
          <w:b/>
          <w:bCs/>
          <w:sz w:val="32"/>
          <w:szCs w:val="32"/>
        </w:rPr>
        <w:t>二〇一七年</w:t>
      </w:r>
      <w:r w:rsidR="00F51F7C">
        <w:rPr>
          <w:rFonts w:ascii="宋体" w:hAnsi="宋体" w:hint="eastAsia"/>
          <w:b/>
          <w:bCs/>
          <w:sz w:val="32"/>
          <w:szCs w:val="32"/>
        </w:rPr>
        <w:t>十一</w:t>
      </w:r>
      <w:r>
        <w:rPr>
          <w:rFonts w:ascii="宋体" w:hAnsi="宋体" w:hint="eastAsia"/>
          <w:b/>
          <w:bCs/>
          <w:sz w:val="32"/>
          <w:szCs w:val="32"/>
        </w:rPr>
        <w:t>月</w:t>
      </w:r>
    </w:p>
    <w:p w:rsidR="00845831" w:rsidRDefault="00297B50">
      <w:pPr>
        <w:pStyle w:val="1"/>
        <w:spacing w:before="156" w:after="156"/>
      </w:pPr>
      <w:r>
        <w:rPr>
          <w:rFonts w:hint="eastAsia"/>
        </w:rPr>
        <w:lastRenderedPageBreak/>
        <w:t>一、</w:t>
      </w:r>
      <w:r>
        <w:t>工作简况，包括任务来源、主要工作过程、主要参加单位和工作组成员及其所做的工作等；</w:t>
      </w:r>
    </w:p>
    <w:p w:rsidR="00845831" w:rsidRDefault="00297B50">
      <w:pPr>
        <w:pStyle w:val="2"/>
        <w:spacing w:before="156" w:after="156"/>
      </w:pPr>
      <w:r>
        <w:rPr>
          <w:rFonts w:hint="eastAsia"/>
        </w:rPr>
        <w:t>1</w:t>
      </w:r>
      <w:r w:rsidR="001B407F">
        <w:rPr>
          <w:rFonts w:hint="eastAsia"/>
        </w:rPr>
        <w:t xml:space="preserve"> </w:t>
      </w:r>
      <w:r>
        <w:rPr>
          <w:rFonts w:hint="eastAsia"/>
        </w:rPr>
        <w:t>任务来源</w:t>
      </w:r>
    </w:p>
    <w:p w:rsidR="00845831" w:rsidRDefault="00297B50">
      <w:pPr>
        <w:spacing w:before="156" w:after="156"/>
        <w:ind w:firstLine="480"/>
      </w:pPr>
      <w:r>
        <w:rPr>
          <w:rFonts w:hint="eastAsia"/>
        </w:rPr>
        <w:t>本标准是根据国标委综合【</w:t>
      </w:r>
      <w:r>
        <w:rPr>
          <w:rFonts w:hint="eastAsia"/>
        </w:rPr>
        <w:t>2015</w:t>
      </w:r>
      <w:r>
        <w:rPr>
          <w:rFonts w:hint="eastAsia"/>
        </w:rPr>
        <w:t>】</w:t>
      </w:r>
      <w:r>
        <w:rPr>
          <w:rFonts w:hint="eastAsia"/>
        </w:rPr>
        <w:t>73</w:t>
      </w:r>
      <w:r>
        <w:rPr>
          <w:rFonts w:hint="eastAsia"/>
        </w:rPr>
        <w:t>号《国家标准委关于下达</w:t>
      </w:r>
      <w:r>
        <w:rPr>
          <w:rFonts w:hint="eastAsia"/>
        </w:rPr>
        <w:t xml:space="preserve"> 2015</w:t>
      </w:r>
      <w:r>
        <w:rPr>
          <w:rFonts w:hint="eastAsia"/>
        </w:rPr>
        <w:t>年第二批国家标准制修订计划的通知》，由山东省产品质量检验研究院负责组织起草工作，上海化工研究院</w:t>
      </w:r>
      <w:r w:rsidR="00714703">
        <w:rPr>
          <w:rFonts w:hint="eastAsia"/>
        </w:rPr>
        <w:t>有限公司</w:t>
      </w:r>
      <w:r>
        <w:rPr>
          <w:rFonts w:hint="eastAsia"/>
        </w:rPr>
        <w:t>、国家化肥质量监督检验中心（山东）、山东农大肥业科技有限公司等单位参加。项目名称为《肥料中赤霉酸含量的测定</w:t>
      </w:r>
      <w:r>
        <w:rPr>
          <w:rFonts w:hint="eastAsia"/>
        </w:rPr>
        <w:t xml:space="preserve"> </w:t>
      </w:r>
      <w:r>
        <w:rPr>
          <w:rFonts w:hint="eastAsia"/>
        </w:rPr>
        <w:t>高效液相色谱</w:t>
      </w:r>
      <w:r>
        <w:rPr>
          <w:rFonts w:hint="eastAsia"/>
        </w:rPr>
        <w:t>-</w:t>
      </w:r>
      <w:r>
        <w:rPr>
          <w:rFonts w:hint="eastAsia"/>
        </w:rPr>
        <w:t>质谱联用仪法》的国家标准，计划编号为</w:t>
      </w:r>
      <w:r>
        <w:rPr>
          <w:rFonts w:hint="eastAsia"/>
        </w:rPr>
        <w:t>20153780-T-606</w:t>
      </w:r>
      <w:r>
        <w:rPr>
          <w:rFonts w:hint="eastAsia"/>
        </w:rPr>
        <w:t>。本标准为首次制定。</w:t>
      </w:r>
    </w:p>
    <w:p w:rsidR="00845831" w:rsidRDefault="00297B50">
      <w:pPr>
        <w:pStyle w:val="2"/>
        <w:spacing w:before="156" w:after="156"/>
      </w:pPr>
      <w:r>
        <w:rPr>
          <w:rFonts w:hint="eastAsia"/>
        </w:rPr>
        <w:t>2</w:t>
      </w:r>
      <w:r w:rsidR="001B407F">
        <w:rPr>
          <w:rFonts w:hint="eastAsia"/>
        </w:rPr>
        <w:t xml:space="preserve"> </w:t>
      </w:r>
      <w:r>
        <w:t>本标准制定的主要工作过程</w:t>
      </w:r>
    </w:p>
    <w:p w:rsidR="00845831" w:rsidRDefault="00297B50">
      <w:pPr>
        <w:spacing w:before="156" w:after="156"/>
        <w:ind w:firstLine="480"/>
        <w:rPr>
          <w:color w:val="000000"/>
        </w:rPr>
      </w:pPr>
      <w:r>
        <w:rPr>
          <w:rFonts w:hint="eastAsia"/>
          <w:color w:val="000000"/>
        </w:rPr>
        <w:t>标准制定任务下达后，由</w:t>
      </w:r>
      <w:r>
        <w:rPr>
          <w:rFonts w:hint="eastAsia"/>
        </w:rPr>
        <w:t>山东省产品质量检验研究院</w:t>
      </w:r>
      <w:r>
        <w:rPr>
          <w:rFonts w:hint="eastAsia"/>
          <w:color w:val="000000"/>
        </w:rPr>
        <w:t>、</w:t>
      </w:r>
      <w:r>
        <w:rPr>
          <w:rFonts w:hint="eastAsia"/>
        </w:rPr>
        <w:t>山东农大肥业科技有限公司等单位</w:t>
      </w:r>
      <w:r>
        <w:rPr>
          <w:rFonts w:hint="eastAsia"/>
          <w:color w:val="000000"/>
        </w:rPr>
        <w:t>共同</w:t>
      </w:r>
      <w:r>
        <w:rPr>
          <w:rFonts w:hint="eastAsia"/>
        </w:rPr>
        <w:t>成立标准起草工作组，</w:t>
      </w:r>
      <w:r>
        <w:rPr>
          <w:rFonts w:hint="eastAsia"/>
          <w:color w:val="000000"/>
        </w:rPr>
        <w:t>制定了工作方案，查阅了大量文献资料、并进行了样品收集和实验验证工作，在此基础上编写了本标准的征求意见稿和编制说明。主要工作过程如下：</w:t>
      </w:r>
    </w:p>
    <w:p w:rsidR="00845831" w:rsidRDefault="00297B50">
      <w:pPr>
        <w:spacing w:before="156" w:after="156"/>
        <w:ind w:firstLine="480"/>
      </w:pPr>
      <w:r>
        <w:rPr>
          <w:rFonts w:hint="eastAsia"/>
        </w:rPr>
        <w:t>2016</w:t>
      </w:r>
      <w:r>
        <w:rPr>
          <w:rFonts w:hint="eastAsia"/>
        </w:rPr>
        <w:t>年</w:t>
      </w:r>
      <w:r>
        <w:rPr>
          <w:rFonts w:hint="eastAsia"/>
        </w:rPr>
        <w:t>1</w:t>
      </w:r>
      <w:r>
        <w:rPr>
          <w:rFonts w:hint="eastAsia"/>
        </w:rPr>
        <w:t>月～</w:t>
      </w:r>
      <w:r w:rsidR="0005466B">
        <w:rPr>
          <w:rFonts w:hint="eastAsia"/>
        </w:rPr>
        <w:t>4</w:t>
      </w:r>
      <w:r>
        <w:rPr>
          <w:rFonts w:hint="eastAsia"/>
        </w:rPr>
        <w:t>月：资料调研与收集，包括国家及行业有关政策法规、国内肥料产业现状调研及现有国家标准、行业标准等，形成《肥料中赤霉酸含量的测定</w:t>
      </w:r>
      <w:r>
        <w:rPr>
          <w:rFonts w:hint="eastAsia"/>
        </w:rPr>
        <w:t xml:space="preserve"> </w:t>
      </w:r>
      <w:r>
        <w:rPr>
          <w:rFonts w:hint="eastAsia"/>
        </w:rPr>
        <w:t>高效液相色谱</w:t>
      </w:r>
      <w:r>
        <w:rPr>
          <w:rFonts w:hint="eastAsia"/>
        </w:rPr>
        <w:t>-</w:t>
      </w:r>
      <w:r>
        <w:rPr>
          <w:rFonts w:hint="eastAsia"/>
        </w:rPr>
        <w:t>质谱联用仪法》草案；</w:t>
      </w:r>
    </w:p>
    <w:p w:rsidR="00845831" w:rsidRDefault="00297B50">
      <w:pPr>
        <w:spacing w:before="156" w:after="156"/>
        <w:ind w:firstLine="480"/>
      </w:pPr>
      <w:r>
        <w:rPr>
          <w:rFonts w:hint="eastAsia"/>
        </w:rPr>
        <w:t>2016</w:t>
      </w:r>
      <w:r>
        <w:rPr>
          <w:rFonts w:hint="eastAsia"/>
        </w:rPr>
        <w:t>年</w:t>
      </w:r>
      <w:r w:rsidR="0005466B">
        <w:rPr>
          <w:rFonts w:hint="eastAsia"/>
        </w:rPr>
        <w:t>5</w:t>
      </w:r>
      <w:r>
        <w:rPr>
          <w:rFonts w:hint="eastAsia"/>
        </w:rPr>
        <w:t>月～</w:t>
      </w:r>
      <w:r>
        <w:rPr>
          <w:rFonts w:hint="eastAsia"/>
        </w:rPr>
        <w:t>2016</w:t>
      </w:r>
      <w:r>
        <w:rPr>
          <w:rFonts w:hint="eastAsia"/>
        </w:rPr>
        <w:t>年</w:t>
      </w:r>
      <w:r w:rsidR="0005466B">
        <w:rPr>
          <w:rFonts w:hint="eastAsia"/>
        </w:rPr>
        <w:t>12</w:t>
      </w:r>
      <w:r>
        <w:rPr>
          <w:rFonts w:hint="eastAsia"/>
        </w:rPr>
        <w:t>月：收集相关实验样品，依据实验结果优化了实验条件，及时编写了《肥料中赤霉酸含量的测定</w:t>
      </w:r>
      <w:r>
        <w:rPr>
          <w:rFonts w:hint="eastAsia"/>
        </w:rPr>
        <w:t xml:space="preserve"> </w:t>
      </w:r>
      <w:r>
        <w:rPr>
          <w:rFonts w:hint="eastAsia"/>
        </w:rPr>
        <w:t>高效液相色谱</w:t>
      </w:r>
      <w:r>
        <w:rPr>
          <w:rFonts w:hint="eastAsia"/>
        </w:rPr>
        <w:t>-</w:t>
      </w:r>
      <w:r>
        <w:rPr>
          <w:rFonts w:hint="eastAsia"/>
        </w:rPr>
        <w:t>质谱联用仪法》工作组讨论稿及编制说明；</w:t>
      </w:r>
    </w:p>
    <w:p w:rsidR="00845831" w:rsidRDefault="00297B50">
      <w:pPr>
        <w:spacing w:before="156" w:after="156"/>
        <w:ind w:firstLine="480"/>
      </w:pPr>
      <w:r>
        <w:rPr>
          <w:rFonts w:hint="eastAsia"/>
        </w:rPr>
        <w:t>201</w:t>
      </w:r>
      <w:r w:rsidR="0005466B">
        <w:rPr>
          <w:rFonts w:hint="eastAsia"/>
        </w:rPr>
        <w:t>7</w:t>
      </w:r>
      <w:r>
        <w:rPr>
          <w:rFonts w:hint="eastAsia"/>
        </w:rPr>
        <w:t>年</w:t>
      </w:r>
      <w:r w:rsidR="0005466B">
        <w:rPr>
          <w:rFonts w:hint="eastAsia"/>
        </w:rPr>
        <w:t>1</w:t>
      </w:r>
      <w:r>
        <w:rPr>
          <w:rFonts w:hint="eastAsia"/>
        </w:rPr>
        <w:t>月～</w:t>
      </w:r>
      <w:r w:rsidR="0005466B">
        <w:rPr>
          <w:rFonts w:hint="eastAsia"/>
        </w:rPr>
        <w:t>7</w:t>
      </w:r>
      <w:r>
        <w:rPr>
          <w:rFonts w:hint="eastAsia"/>
        </w:rPr>
        <w:t>月：根据工作组讨论稿中的意见或建议，进一步完善了实验过程及实验条件，并编写了《肥料中赤霉酸含量的测定</w:t>
      </w:r>
      <w:r>
        <w:rPr>
          <w:rFonts w:hint="eastAsia"/>
        </w:rPr>
        <w:t xml:space="preserve"> </w:t>
      </w:r>
      <w:r>
        <w:rPr>
          <w:rFonts w:hint="eastAsia"/>
        </w:rPr>
        <w:t>高效液相色谱</w:t>
      </w:r>
      <w:r>
        <w:rPr>
          <w:rFonts w:hint="eastAsia"/>
        </w:rPr>
        <w:t>-</w:t>
      </w:r>
      <w:r>
        <w:rPr>
          <w:rFonts w:hint="eastAsia"/>
        </w:rPr>
        <w:t>质谱联用仪法》征求意见稿和标准编制说明。</w:t>
      </w:r>
    </w:p>
    <w:p w:rsidR="00F51F7C" w:rsidRDefault="00F51F7C">
      <w:pPr>
        <w:spacing w:before="156" w:after="156"/>
        <w:ind w:firstLine="480"/>
      </w:pPr>
      <w:r>
        <w:rPr>
          <w:rFonts w:hint="eastAsia"/>
        </w:rPr>
        <w:t>2017</w:t>
      </w:r>
      <w:r>
        <w:rPr>
          <w:rFonts w:hint="eastAsia"/>
        </w:rPr>
        <w:t>年</w:t>
      </w:r>
      <w:r>
        <w:rPr>
          <w:rFonts w:hint="eastAsia"/>
        </w:rPr>
        <w:t>8</w:t>
      </w:r>
      <w:r>
        <w:rPr>
          <w:rFonts w:hint="eastAsia"/>
        </w:rPr>
        <w:t>月～</w:t>
      </w:r>
      <w:r>
        <w:rPr>
          <w:rFonts w:hint="eastAsia"/>
        </w:rPr>
        <w:t>11</w:t>
      </w:r>
      <w:r>
        <w:rPr>
          <w:rFonts w:hint="eastAsia"/>
        </w:rPr>
        <w:t>月：根据征求意见稿中反馈的意见或建议，进一步完善赤霉酸稳定性实验，并采纳了部分专家的意见与建议，并编写了《肥料中赤霉酸含</w:t>
      </w:r>
      <w:r>
        <w:rPr>
          <w:rFonts w:hint="eastAsia"/>
        </w:rPr>
        <w:lastRenderedPageBreak/>
        <w:t>量的测定</w:t>
      </w:r>
      <w:r>
        <w:rPr>
          <w:rFonts w:hint="eastAsia"/>
        </w:rPr>
        <w:t xml:space="preserve"> </w:t>
      </w:r>
      <w:r>
        <w:rPr>
          <w:rFonts w:hint="eastAsia"/>
        </w:rPr>
        <w:t>高效液相色谱</w:t>
      </w:r>
      <w:r>
        <w:rPr>
          <w:rFonts w:hint="eastAsia"/>
        </w:rPr>
        <w:t>-</w:t>
      </w:r>
      <w:r>
        <w:rPr>
          <w:rFonts w:hint="eastAsia"/>
        </w:rPr>
        <w:t>质谱联用仪法》送审稿和标准编制说明。</w:t>
      </w:r>
    </w:p>
    <w:p w:rsidR="00845831" w:rsidRDefault="00297B50">
      <w:pPr>
        <w:pStyle w:val="2"/>
        <w:spacing w:before="156" w:after="156"/>
      </w:pPr>
      <w:r>
        <w:rPr>
          <w:rFonts w:hint="eastAsia"/>
        </w:rPr>
        <w:t>3</w:t>
      </w:r>
      <w:r w:rsidR="001B407F">
        <w:rPr>
          <w:rFonts w:hint="eastAsia"/>
        </w:rPr>
        <w:t xml:space="preserve"> </w:t>
      </w:r>
      <w:r>
        <w:rPr>
          <w:rFonts w:hint="eastAsia"/>
        </w:rPr>
        <w:t>标准研究背景</w:t>
      </w:r>
    </w:p>
    <w:p w:rsidR="00845831" w:rsidRDefault="00297B50">
      <w:pPr>
        <w:spacing w:before="156" w:after="156"/>
        <w:ind w:firstLine="480"/>
      </w:pPr>
      <w:r>
        <w:rPr>
          <w:rFonts w:hint="eastAsia"/>
        </w:rPr>
        <w:t>肥料是农业生产中极为重要的生产资料，是保障国家粮食安全的重要物质基础，其质量好坏直接影响农业生产及粮食质量安全。</w:t>
      </w:r>
      <w:r>
        <w:t>目前，一些不法肥料生产者及经营者，为了追求立竿见影的</w:t>
      </w:r>
      <w:r>
        <w:t xml:space="preserve"> “</w:t>
      </w:r>
      <w:r>
        <w:t>肥效</w:t>
      </w:r>
      <w:r>
        <w:t>”</w:t>
      </w:r>
      <w:r>
        <w:t>，在肥料中违禁添加植物生长调节剂，行业统称为所谓的</w:t>
      </w:r>
      <w:r>
        <w:t>“</w:t>
      </w:r>
      <w:r>
        <w:t>药肥</w:t>
      </w:r>
      <w:r>
        <w:t>”</w:t>
      </w:r>
      <w:r>
        <w:t>。</w:t>
      </w:r>
      <w:r>
        <w:rPr>
          <w:rFonts w:hint="eastAsia"/>
        </w:rPr>
        <w:t>植物生长调节剂作为一种常用农药产品，目前在全世界农业生产中广泛应用，但不允许在肥料中随意添加。</w:t>
      </w:r>
      <w:r>
        <w:t>然而，肥料生产商在高额利润的诱惑下，违规添加促进作物生长的调节剂，以增强肥料的肥效。</w:t>
      </w:r>
    </w:p>
    <w:p w:rsidR="00845831" w:rsidRDefault="00297B50">
      <w:pPr>
        <w:spacing w:before="156" w:after="156"/>
        <w:ind w:firstLine="480"/>
      </w:pPr>
      <w:r>
        <w:t>我国</w:t>
      </w:r>
      <w:r>
        <w:t>1997</w:t>
      </w:r>
      <w:r>
        <w:t>年颁布实施，</w:t>
      </w:r>
      <w:r>
        <w:t>20</w:t>
      </w:r>
      <w:r w:rsidR="004A33C5">
        <w:rPr>
          <w:rFonts w:hint="eastAsia"/>
        </w:rPr>
        <w:t>17</w:t>
      </w:r>
      <w:r>
        <w:t>年修订的《农药管理条例》作为农药方面的基本法律，将植物生长调节剂作为农药而进行统一管理。目前在我国登记的植物生长调节剂品种并不多，然而在农业生产上，植物生长调节剂的应用却比较广泛，从大豆、玉米、水稻、小麦、马铃薯等大宗粮食作物，到各种蔬菜、花卉、果树等经济作物，在壮根、整形、脱叶、诱导抗逆、提高坐果、控制生长、促进生长、催熟、保鲜、提高产量、改善品质等方面，植物生长调节剂都起到了很重要的作用。</w:t>
      </w:r>
    </w:p>
    <w:p w:rsidR="00845831" w:rsidRDefault="00297B50">
      <w:pPr>
        <w:spacing w:before="156" w:after="156"/>
        <w:ind w:firstLine="480"/>
      </w:pPr>
      <w:r>
        <w:t>据有关部门统计，近几年来，我国植物生长调节剂的年产量接近</w:t>
      </w:r>
      <w:r>
        <w:t>2000</w:t>
      </w:r>
      <w:r>
        <w:t>吨，常用品种近百个，对植物生长调节剂的使用一直受到社会的普遍关注，值得注意的是植物生长调节剂属于农药登记的范畴，农药登记对产品的安全性评价以及质量要求非常严格，而大多数肥料生产企业规模较小，一般不进行植物生长调节剂的农药登记，而是利用</w:t>
      </w:r>
      <w:r>
        <w:t>“</w:t>
      </w:r>
      <w:r>
        <w:t>药肥</w:t>
      </w:r>
      <w:r>
        <w:t>”</w:t>
      </w:r>
      <w:r>
        <w:t>监管空白的</w:t>
      </w:r>
      <w:r>
        <w:t>“</w:t>
      </w:r>
      <w:r>
        <w:t>擦边球</w:t>
      </w:r>
      <w:r>
        <w:t>”</w:t>
      </w:r>
      <w:r>
        <w:t>，牟取高额利润，给肥料产品质量安全以及人民的财产、身体健康的安全性带来了潜在的风险。</w:t>
      </w:r>
    </w:p>
    <w:p w:rsidR="00845831" w:rsidRDefault="00297B50">
      <w:pPr>
        <w:spacing w:before="156" w:after="156"/>
        <w:ind w:firstLine="480"/>
      </w:pPr>
      <w:r>
        <w:rPr>
          <w:rFonts w:hint="eastAsia"/>
        </w:rPr>
        <w:t>赤霉酸是一种广谱性植物生长调节剂，具有促进植物细胞分裂、促进种子发育、诱导花芽生长、</w:t>
      </w:r>
      <w:r>
        <w:t>促进瓜果植物的座果率或无核果实的形成</w:t>
      </w:r>
      <w:r>
        <w:rPr>
          <w:rFonts w:hint="eastAsia"/>
        </w:rPr>
        <w:t>、</w:t>
      </w:r>
      <w:r>
        <w:t>促进叶菜类植物的营养生长</w:t>
      </w:r>
      <w:r>
        <w:rPr>
          <w:rFonts w:hint="eastAsia"/>
        </w:rPr>
        <w:t>、</w:t>
      </w:r>
      <w:r>
        <w:t>促进种子发育等作用；也具有水果保鲜剂的作用；并且它能改变雌、雄花的比例，影响开花时间。但使用赤霉酸处理的作物不孕籽增加，留种田不宜施用</w:t>
      </w:r>
      <w:r>
        <w:rPr>
          <w:rFonts w:hint="eastAsia"/>
        </w:rPr>
        <w:t>，</w:t>
      </w:r>
      <w:r>
        <w:t>西南大学食品科学学院和重庆市农产品加工重点实验室合作</w:t>
      </w:r>
      <w:r>
        <w:rPr>
          <w:rFonts w:hint="eastAsia"/>
        </w:rPr>
        <w:t>，</w:t>
      </w:r>
      <w:r>
        <w:t>通过急性毒性实验和遗传毒性实验</w:t>
      </w:r>
      <w:r>
        <w:rPr>
          <w:rFonts w:hint="eastAsia"/>
        </w:rPr>
        <w:t>（包括蚕豆根尖细胞核实验、小鼠骨髓细胞核实验及小鼠</w:t>
      </w:r>
      <w:r>
        <w:rPr>
          <w:rFonts w:hint="eastAsia"/>
        </w:rPr>
        <w:lastRenderedPageBreak/>
        <w:t>精子畸形实验）对赤霉酸的安全性进行了初步评价，结果显示赤霉酸的急性毒性不高，属于低毒级，但在较高剂量条件下植物细胞、动物体细胞及生殖细胞均具有遗传毒性。国内植物生长调节剂相关的标准中，有赤霉酸原药（</w:t>
      </w:r>
      <w:r>
        <w:rPr>
          <w:rFonts w:hint="eastAsia"/>
        </w:rPr>
        <w:t>GB/T 15955-2011</w:t>
      </w:r>
      <w:r>
        <w:rPr>
          <w:rFonts w:hint="eastAsia"/>
        </w:rPr>
        <w:t>）等</w:t>
      </w:r>
      <w:r>
        <w:rPr>
          <w:rFonts w:hint="eastAsia"/>
        </w:rPr>
        <w:t>10</w:t>
      </w:r>
      <w:r>
        <w:rPr>
          <w:rFonts w:hint="eastAsia"/>
        </w:rPr>
        <w:t>余种产品有相关技术标准，其余的产品、方法标准基本为企业标准。而目前肥料中隐性添加的赤霉酸，既无限量指标要求，又缺乏规范统一的检测方法标准，严重影响政府监管工作的有效开展。</w:t>
      </w:r>
      <w:r>
        <w:rPr>
          <w:rFonts w:ascii="宋体" w:hAnsi="宋体" w:cs="宋体" w:hint="eastAsia"/>
        </w:rPr>
        <w:t>目前，仅有极少数文献报道植物生长调节剂的检测方法研究，</w:t>
      </w:r>
      <w:r>
        <w:rPr>
          <w:rFonts w:hint="eastAsia"/>
        </w:rPr>
        <w:t>缺乏统一规范的</w:t>
      </w:r>
      <w:r>
        <w:rPr>
          <w:rFonts w:ascii="宋体" w:hAnsi="宋体" w:cs="宋体" w:hint="eastAsia"/>
        </w:rPr>
        <w:t>肥料中植物生长调节剂检测方法标准</w:t>
      </w:r>
      <w:r>
        <w:rPr>
          <w:rFonts w:hint="eastAsia"/>
        </w:rPr>
        <w:t>，随着肥料的广泛应用，政府监管部门要做好产品质量监管以及质量安全风险监测工作国内急需建立肥料中赤霉酸的检测标准和方法，</w:t>
      </w:r>
      <w:r>
        <w:rPr>
          <w:rFonts w:hint="eastAsia"/>
          <w:color w:val="000000"/>
          <w:sz w:val="22"/>
          <w:szCs w:val="22"/>
        </w:rPr>
        <w:t>规范行业行为，促进肥料产业健康发展。</w:t>
      </w:r>
    </w:p>
    <w:p w:rsidR="00845831" w:rsidRDefault="00297B50">
      <w:pPr>
        <w:pStyle w:val="2"/>
        <w:spacing w:before="156" w:after="156"/>
      </w:pPr>
      <w:r>
        <w:rPr>
          <w:rFonts w:hint="eastAsia"/>
        </w:rPr>
        <w:t>4</w:t>
      </w:r>
      <w:r w:rsidR="001B407F">
        <w:rPr>
          <w:rFonts w:hint="eastAsia"/>
        </w:rPr>
        <w:t xml:space="preserve"> </w:t>
      </w:r>
      <w:r>
        <w:rPr>
          <w:rFonts w:hint="eastAsia"/>
        </w:rPr>
        <w:t>参考的相关资料</w:t>
      </w:r>
    </w:p>
    <w:p w:rsidR="00845831" w:rsidRDefault="00297B50">
      <w:pPr>
        <w:spacing w:before="156" w:after="156"/>
        <w:ind w:firstLine="480"/>
        <w:rPr>
          <w:b/>
        </w:rPr>
      </w:pPr>
      <w:r>
        <w:rPr>
          <w:rFonts w:hint="eastAsia"/>
        </w:rPr>
        <w:t>标准起草工作组查阅大量的国内外文献资料，主要参考文献如下：</w:t>
      </w:r>
    </w:p>
    <w:p w:rsidR="00845831" w:rsidRDefault="00297B50">
      <w:pPr>
        <w:spacing w:before="156" w:after="156"/>
        <w:ind w:firstLine="480"/>
      </w:pPr>
      <w:r>
        <w:t>赵瑛博</w:t>
      </w:r>
      <w:r>
        <w:t xml:space="preserve">, </w:t>
      </w:r>
      <w:r>
        <w:t>周艳明</w:t>
      </w:r>
      <w:r>
        <w:t xml:space="preserve">, </w:t>
      </w:r>
      <w:r>
        <w:t>忻雪</w:t>
      </w:r>
      <w:r>
        <w:t xml:space="preserve">, </w:t>
      </w:r>
      <w:r>
        <w:t>等</w:t>
      </w:r>
      <w:r>
        <w:t xml:space="preserve">. </w:t>
      </w:r>
      <w:r>
        <w:t>高效液相色谱</w:t>
      </w:r>
      <w:r>
        <w:t>-</w:t>
      </w:r>
      <w:r>
        <w:t>串联质谱法测定水果</w:t>
      </w:r>
      <w:r>
        <w:t xml:space="preserve">, </w:t>
      </w:r>
      <w:r>
        <w:t>蔬菜中赤霉酸残留</w:t>
      </w:r>
      <w:r>
        <w:t xml:space="preserve">[J]. </w:t>
      </w:r>
      <w:r>
        <w:t>食品科学</w:t>
      </w:r>
      <w:r>
        <w:t>, 2011, 32(6): 209-212.</w:t>
      </w:r>
    </w:p>
    <w:p w:rsidR="00845831" w:rsidRDefault="00297B50">
      <w:pPr>
        <w:spacing w:before="156" w:after="156"/>
        <w:ind w:firstLine="480"/>
      </w:pPr>
      <w:r>
        <w:t>Koshioka M, Harada J, Takeno K, et al. Reversed-phase C&lt; sub&gt; 18&lt;/sub&gt; high-performance liquid chromatography of acidic and conjugated gibberellins[J]. Journal of Chromatography A, 1983, 256: 101-115.</w:t>
      </w:r>
    </w:p>
    <w:p w:rsidR="00845831" w:rsidRDefault="00297B50">
      <w:pPr>
        <w:spacing w:before="156" w:after="156"/>
        <w:ind w:firstLine="480"/>
      </w:pPr>
      <w:r>
        <w:t>卢春霞</w:t>
      </w:r>
      <w:r>
        <w:t xml:space="preserve">, </w:t>
      </w:r>
      <w:r>
        <w:t>罗小玲</w:t>
      </w:r>
      <w:r>
        <w:t xml:space="preserve">, </w:t>
      </w:r>
      <w:r>
        <w:t>陈霞</w:t>
      </w:r>
      <w:r>
        <w:t xml:space="preserve">. </w:t>
      </w:r>
      <w:r>
        <w:t>赤霉酸的研究进展</w:t>
      </w:r>
      <w:r>
        <w:t xml:space="preserve">[J]. </w:t>
      </w:r>
      <w:r>
        <w:t>世界科技研究与发展</w:t>
      </w:r>
      <w:r>
        <w:t>, 2012, 34(1): 45r49.</w:t>
      </w:r>
    </w:p>
    <w:p w:rsidR="00845831" w:rsidRDefault="00297B50">
      <w:pPr>
        <w:spacing w:before="156" w:after="156"/>
        <w:ind w:firstLine="480"/>
      </w:pPr>
      <w:r>
        <w:t>张军</w:t>
      </w:r>
      <w:r>
        <w:t xml:space="preserve">, </w:t>
      </w:r>
      <w:r>
        <w:t>杜平</w:t>
      </w:r>
      <w:r>
        <w:t xml:space="preserve">. </w:t>
      </w:r>
      <w:r>
        <w:t>高效液相色谱</w:t>
      </w:r>
      <w:r>
        <w:t>-</w:t>
      </w:r>
      <w:r>
        <w:t>串联质谱法测定葡萄中的吡效隆和赤霉酸</w:t>
      </w:r>
      <w:r>
        <w:t xml:space="preserve">[J]. </w:t>
      </w:r>
      <w:r>
        <w:t>色谱</w:t>
      </w:r>
      <w:r>
        <w:t>, 2011, 29(11): 1133-1136.</w:t>
      </w:r>
    </w:p>
    <w:p w:rsidR="00845831" w:rsidRDefault="00297B50">
      <w:pPr>
        <w:spacing w:before="156" w:after="156"/>
        <w:ind w:firstLine="480"/>
      </w:pPr>
      <w:r>
        <w:t>Croker S J, Hedden P, Lenton J R, et al. Comparison of gibberellins in normal and slender barley seedlings[J]. Plant physiology, 1990, 94(1): 194-200.</w:t>
      </w:r>
    </w:p>
    <w:p w:rsidR="00845831" w:rsidRDefault="00297B50">
      <w:pPr>
        <w:spacing w:before="156" w:after="156"/>
        <w:ind w:firstLine="480"/>
      </w:pPr>
      <w:r>
        <w:t>陈红平</w:t>
      </w:r>
      <w:r>
        <w:t xml:space="preserve">, </w:t>
      </w:r>
      <w:r>
        <w:t>刘新</w:t>
      </w:r>
      <w:r>
        <w:t xml:space="preserve">, </w:t>
      </w:r>
      <w:r>
        <w:t>王川丕</w:t>
      </w:r>
      <w:r>
        <w:t xml:space="preserve">, </w:t>
      </w:r>
      <w:r>
        <w:t>等</w:t>
      </w:r>
      <w:r>
        <w:t xml:space="preserve">. </w:t>
      </w:r>
      <w:r>
        <w:t>分散固相萃取</w:t>
      </w:r>
      <w:r>
        <w:t>-</w:t>
      </w:r>
      <w:r>
        <w:t>超高压液相色谱</w:t>
      </w:r>
      <w:r>
        <w:t>-</w:t>
      </w:r>
      <w:r>
        <w:t>串联质谱测定茶叶中赤霉酸和</w:t>
      </w:r>
      <w:r>
        <w:t xml:space="preserve"> α-</w:t>
      </w:r>
      <w:r>
        <w:t>萘乙酸</w:t>
      </w:r>
      <w:r>
        <w:t>[J]. 2012.</w:t>
      </w:r>
    </w:p>
    <w:p w:rsidR="00845831" w:rsidRDefault="00297B50">
      <w:pPr>
        <w:spacing w:before="156" w:after="156"/>
        <w:ind w:firstLine="480"/>
      </w:pPr>
      <w:r>
        <w:t>张秀红</w:t>
      </w:r>
      <w:r>
        <w:t xml:space="preserve">, </w:t>
      </w:r>
      <w:r>
        <w:t>王文瑞</w:t>
      </w:r>
      <w:r>
        <w:t xml:space="preserve">, </w:t>
      </w:r>
      <w:r>
        <w:t>徐晓枫</w:t>
      </w:r>
      <w:r>
        <w:t xml:space="preserve">, </w:t>
      </w:r>
      <w:r>
        <w:t>等</w:t>
      </w:r>
      <w:r>
        <w:t xml:space="preserve">. </w:t>
      </w:r>
      <w:r>
        <w:t>高效液相色谱测定大豆中赤霉酸和脱落酸含</w:t>
      </w:r>
      <w:r>
        <w:lastRenderedPageBreak/>
        <w:t>量方法的建立</w:t>
      </w:r>
      <w:r>
        <w:t xml:space="preserve">[J]. </w:t>
      </w:r>
      <w:r>
        <w:t>中国卫生检验杂志</w:t>
      </w:r>
      <w:r>
        <w:t>, 2012, 22(012): 2825-2826.</w:t>
      </w:r>
    </w:p>
    <w:p w:rsidR="00845831" w:rsidRDefault="00297B50">
      <w:pPr>
        <w:spacing w:before="156" w:after="156"/>
        <w:ind w:firstLine="480"/>
      </w:pPr>
      <w:r>
        <w:t>Barendse G W M, Van de Werken P H, Takahashi N. High-performance liquid chromatography of gibberellins[J]. Journal of Chromatography A, 1980, 198(4): 449-455.</w:t>
      </w:r>
    </w:p>
    <w:p w:rsidR="00845831" w:rsidRDefault="00297B50">
      <w:pPr>
        <w:spacing w:before="156" w:after="156"/>
        <w:ind w:firstLine="480"/>
      </w:pPr>
      <w:r>
        <w:t>周艳明</w:t>
      </w:r>
      <w:r>
        <w:t xml:space="preserve">, </w:t>
      </w:r>
      <w:r>
        <w:t>汤媛</w:t>
      </w:r>
      <w:r>
        <w:t xml:space="preserve">, </w:t>
      </w:r>
      <w:r>
        <w:t>牛森</w:t>
      </w:r>
      <w:r>
        <w:t xml:space="preserve">. </w:t>
      </w:r>
      <w:r>
        <w:t>高效液相色谱法检测草莓中赤霉酸残留量的研究</w:t>
      </w:r>
      <w:r>
        <w:t xml:space="preserve">[J]. </w:t>
      </w:r>
      <w:r>
        <w:t>食品工业科技</w:t>
      </w:r>
      <w:r>
        <w:t>, 2009 (1): 311-312.</w:t>
      </w:r>
    </w:p>
    <w:p w:rsidR="00845831" w:rsidRDefault="00297B50">
      <w:pPr>
        <w:spacing w:before="156" w:after="156"/>
        <w:ind w:firstLine="480"/>
      </w:pPr>
      <w:r>
        <w:t>包琴</w:t>
      </w:r>
      <w:r>
        <w:t xml:space="preserve">, </w:t>
      </w:r>
      <w:r>
        <w:t>唐洁</w:t>
      </w:r>
      <w:r>
        <w:t xml:space="preserve">, </w:t>
      </w:r>
      <w:r>
        <w:t>马力</w:t>
      </w:r>
      <w:r>
        <w:t xml:space="preserve">, </w:t>
      </w:r>
      <w:r>
        <w:t>等</w:t>
      </w:r>
      <w:r>
        <w:t xml:space="preserve">. </w:t>
      </w:r>
      <w:r>
        <w:t>固相萃取</w:t>
      </w:r>
      <w:r>
        <w:t>-</w:t>
      </w:r>
      <w:r>
        <w:t>高效液相色谱测定大米中的赤霉酸</w:t>
      </w:r>
      <w:r>
        <w:t xml:space="preserve">[J]. </w:t>
      </w:r>
      <w:r>
        <w:t>食品科技</w:t>
      </w:r>
      <w:r>
        <w:t>, 2011, 36(8): 270-273.</w:t>
      </w:r>
    </w:p>
    <w:p w:rsidR="00845831" w:rsidRDefault="00297B50">
      <w:pPr>
        <w:spacing w:before="156" w:after="156"/>
        <w:ind w:firstLine="480"/>
      </w:pPr>
      <w:r>
        <w:t>张元新</w:t>
      </w:r>
      <w:r>
        <w:t xml:space="preserve">, </w:t>
      </w:r>
      <w:r>
        <w:t>葛雅琨</w:t>
      </w:r>
      <w:r>
        <w:t xml:space="preserve">. </w:t>
      </w:r>
      <w:r>
        <w:t>固相萃取技术在分离纯化赤霉酸</w:t>
      </w:r>
      <w:r>
        <w:t xml:space="preserve"> (GA3) </w:t>
      </w:r>
      <w:r>
        <w:t>中的应用研究</w:t>
      </w:r>
      <w:r>
        <w:t xml:space="preserve">[J]. </w:t>
      </w:r>
      <w:r>
        <w:t>吉林化工学院学报</w:t>
      </w:r>
      <w:r>
        <w:t>, 2008, 25(1): 23-25.</w:t>
      </w:r>
    </w:p>
    <w:p w:rsidR="00845831" w:rsidRDefault="00297B50">
      <w:pPr>
        <w:spacing w:before="156" w:after="156"/>
        <w:ind w:firstLine="480"/>
      </w:pPr>
      <w:r>
        <w:t>葛雅琨</w:t>
      </w:r>
      <w:r>
        <w:t xml:space="preserve">, </w:t>
      </w:r>
      <w:r>
        <w:t>张元新</w:t>
      </w:r>
      <w:r>
        <w:t xml:space="preserve">, </w:t>
      </w:r>
      <w:r>
        <w:t>胡睿</w:t>
      </w:r>
      <w:r>
        <w:t xml:space="preserve">, </w:t>
      </w:r>
      <w:r>
        <w:t>等</w:t>
      </w:r>
      <w:r>
        <w:t xml:space="preserve">. </w:t>
      </w:r>
      <w:r>
        <w:t>蔬菜中赤霉酸残留量的高效液相色谱检测方法研究</w:t>
      </w:r>
      <w:r>
        <w:t xml:space="preserve">[J]. </w:t>
      </w:r>
      <w:r>
        <w:t>吉林化工学院学报</w:t>
      </w:r>
      <w:r>
        <w:t>, 2005, 22(2): 13-16.</w:t>
      </w:r>
    </w:p>
    <w:p w:rsidR="00845831" w:rsidRDefault="00297B50">
      <w:pPr>
        <w:spacing w:before="156" w:after="156"/>
        <w:ind w:firstLine="480"/>
      </w:pPr>
      <w:r>
        <w:t>陈小鹏</w:t>
      </w:r>
      <w:r>
        <w:t xml:space="preserve">, </w:t>
      </w:r>
      <w:r>
        <w:t>王秀峰</w:t>
      </w:r>
      <w:r>
        <w:t xml:space="preserve">, </w:t>
      </w:r>
      <w:r>
        <w:t>孙小镭</w:t>
      </w:r>
      <w:r>
        <w:t xml:space="preserve">, </w:t>
      </w:r>
      <w:r>
        <w:t>等</w:t>
      </w:r>
      <w:r>
        <w:t xml:space="preserve">. </w:t>
      </w:r>
      <w:r>
        <w:t>高效液相色谱测定黄瓜瓜条中赤霉酸和脱落酸含量</w:t>
      </w:r>
      <w:r>
        <w:t xml:space="preserve">[J]. </w:t>
      </w:r>
      <w:r>
        <w:t>山东农业科学</w:t>
      </w:r>
      <w:r>
        <w:t>, 2005 (1): 65-67.</w:t>
      </w:r>
    </w:p>
    <w:p w:rsidR="00845831" w:rsidRDefault="00297B50">
      <w:pPr>
        <w:spacing w:before="156" w:after="156"/>
        <w:ind w:firstLine="480"/>
      </w:pPr>
      <w:r>
        <w:t>张有林</w:t>
      </w:r>
      <w:r>
        <w:t xml:space="preserve">, </w:t>
      </w:r>
      <w:r>
        <w:t>党娅</w:t>
      </w:r>
      <w:r>
        <w:t xml:space="preserve">, </w:t>
      </w:r>
      <w:r>
        <w:t>张静</w:t>
      </w:r>
      <w:r>
        <w:t xml:space="preserve">, </w:t>
      </w:r>
      <w:r>
        <w:t>等</w:t>
      </w:r>
      <w:r>
        <w:t xml:space="preserve">. </w:t>
      </w:r>
      <w:r>
        <w:t>高效液相色谱法同时测定银凤桃中的赤霉酸和脱落酸</w:t>
      </w:r>
      <w:r>
        <w:t xml:space="preserve">[J]. </w:t>
      </w:r>
      <w:r>
        <w:t>西北植物学报</w:t>
      </w:r>
      <w:r>
        <w:t>, 2006, 25(7): 1467-1471.</w:t>
      </w:r>
    </w:p>
    <w:p w:rsidR="00845831" w:rsidRDefault="00297B50">
      <w:pPr>
        <w:spacing w:before="156" w:after="156"/>
        <w:ind w:firstLine="480"/>
      </w:pPr>
      <w:r>
        <w:t>马振宇</w:t>
      </w:r>
      <w:r>
        <w:t xml:space="preserve">, </w:t>
      </w:r>
      <w:r>
        <w:t>吕志华</w:t>
      </w:r>
      <w:r>
        <w:t xml:space="preserve">, </w:t>
      </w:r>
      <w:r>
        <w:t>姜廷福</w:t>
      </w:r>
      <w:r>
        <w:t xml:space="preserve">, </w:t>
      </w:r>
      <w:r>
        <w:t>等</w:t>
      </w:r>
      <w:r>
        <w:t xml:space="preserve">. </w:t>
      </w:r>
      <w:r>
        <w:t>高效液相色谱法测定菌肥中赤霉酸和吲哚乙酸含量方法研究</w:t>
      </w:r>
      <w:r>
        <w:t xml:space="preserve">[J]. </w:t>
      </w:r>
      <w:r>
        <w:t>分析测试技术与仪器</w:t>
      </w:r>
      <w:r>
        <w:t>, 2006, 11(3): 174-177.</w:t>
      </w:r>
    </w:p>
    <w:p w:rsidR="00845831" w:rsidRDefault="00297B50">
      <w:pPr>
        <w:spacing w:before="156" w:after="156"/>
        <w:ind w:firstLine="480"/>
      </w:pPr>
      <w:r>
        <w:t>李金昶</w:t>
      </w:r>
      <w:r>
        <w:t xml:space="preserve">, </w:t>
      </w:r>
      <w:r>
        <w:t>石晶</w:t>
      </w:r>
      <w:r>
        <w:t xml:space="preserve">. </w:t>
      </w:r>
      <w:r>
        <w:t>高效液相色谱法分离和测定</w:t>
      </w:r>
      <w:r>
        <w:t xml:space="preserve"> 3 </w:t>
      </w:r>
      <w:r>
        <w:t>种植物内源激素</w:t>
      </w:r>
      <w:r>
        <w:t xml:space="preserve">[J]. </w:t>
      </w:r>
      <w:r>
        <w:t>分析化学</w:t>
      </w:r>
      <w:r>
        <w:t>, 1994, 22(8): 801-804.</w:t>
      </w:r>
    </w:p>
    <w:p w:rsidR="00845831" w:rsidRDefault="00297B50">
      <w:pPr>
        <w:pStyle w:val="1"/>
        <w:spacing w:before="156" w:after="156"/>
      </w:pPr>
      <w:r>
        <w:lastRenderedPageBreak/>
        <w:t>二</w:t>
      </w:r>
      <w:r>
        <w:rPr>
          <w:rFonts w:hint="eastAsia"/>
        </w:rPr>
        <w:t>、</w:t>
      </w:r>
      <w:r>
        <w:t>标准编制原则和主要内容（如技术指标、参数、公式、性能要求、试验方法、检验规则等）的论据，解决的主要问题。修订标准时应列出与原标准的主要差异和水平对比；</w:t>
      </w:r>
    </w:p>
    <w:p w:rsidR="00845831" w:rsidRDefault="00297B50">
      <w:pPr>
        <w:pStyle w:val="2"/>
        <w:spacing w:before="156" w:after="156"/>
      </w:pPr>
      <w:r>
        <w:rPr>
          <w:rFonts w:hint="eastAsia"/>
        </w:rPr>
        <w:t>1</w:t>
      </w:r>
      <w:r w:rsidR="001B407F">
        <w:rPr>
          <w:rFonts w:hint="eastAsia"/>
        </w:rPr>
        <w:t xml:space="preserve"> </w:t>
      </w:r>
      <w:r>
        <w:rPr>
          <w:rFonts w:hint="eastAsia"/>
        </w:rPr>
        <w:t>标准编制的原则</w:t>
      </w:r>
    </w:p>
    <w:p w:rsidR="00845831" w:rsidRDefault="00297B50">
      <w:pPr>
        <w:spacing w:before="156" w:after="156"/>
        <w:ind w:firstLine="480"/>
        <w:rPr>
          <w:rStyle w:val="10"/>
          <w:b w:val="0"/>
          <w:bCs w:val="0"/>
          <w:kern w:val="2"/>
          <w:sz w:val="24"/>
          <w:szCs w:val="24"/>
        </w:rPr>
      </w:pPr>
      <w:r>
        <w:rPr>
          <w:rFonts w:hint="eastAsia"/>
          <w:color w:val="000000"/>
        </w:rPr>
        <w:t>标准编制遵循“统一性、规范性、适用性、协调性、一致性”的原则，尽可能与现行国内外同行标准接轨，注重标准的适用性和可操作性，本标准的编制根据</w:t>
      </w:r>
      <w:r>
        <w:rPr>
          <w:color w:val="000000"/>
        </w:rPr>
        <w:t xml:space="preserve">GB/T 1.1-2009 </w:t>
      </w:r>
      <w:r>
        <w:rPr>
          <w:rFonts w:hint="eastAsia"/>
          <w:color w:val="000000"/>
        </w:rPr>
        <w:t>《标准化工作导则第</w:t>
      </w:r>
      <w:r>
        <w:rPr>
          <w:color w:val="000000"/>
        </w:rPr>
        <w:t>1</w:t>
      </w:r>
      <w:r>
        <w:rPr>
          <w:rFonts w:hint="eastAsia"/>
          <w:color w:val="000000"/>
        </w:rPr>
        <w:t>部分：标准的结构与编写规则》的规定执行。</w:t>
      </w:r>
      <w:r>
        <w:t>本次标准制定，是结合我国肥料生产、销售、市场、质量监督的实际情况</w:t>
      </w:r>
      <w:r>
        <w:rPr>
          <w:rFonts w:hint="eastAsia"/>
        </w:rPr>
        <w:t>，积极响应</w:t>
      </w:r>
      <w:r>
        <w:t>农业部印发</w:t>
      </w:r>
      <w:r>
        <w:rPr>
          <w:rFonts w:hint="eastAsia"/>
        </w:rPr>
        <w:t>的</w:t>
      </w:r>
      <w:r>
        <w:t>《到</w:t>
      </w:r>
      <w:r>
        <w:t>2020</w:t>
      </w:r>
      <w:r>
        <w:t>年农药使用量零增长行动方案》</w:t>
      </w:r>
      <w:r>
        <w:rPr>
          <w:rFonts w:hint="eastAsia"/>
        </w:rPr>
        <w:t>，</w:t>
      </w:r>
      <w:r>
        <w:t>参考了</w:t>
      </w:r>
      <w:r>
        <w:rPr>
          <w:rFonts w:hint="eastAsia"/>
        </w:rPr>
        <w:t>大量文献资料和国家标准及行业标准，利用高效液相色谱</w:t>
      </w:r>
      <w:r>
        <w:rPr>
          <w:rFonts w:hint="eastAsia"/>
        </w:rPr>
        <w:t>-</w:t>
      </w:r>
      <w:r>
        <w:rPr>
          <w:rFonts w:hint="eastAsia"/>
        </w:rPr>
        <w:t>质谱联用法对肥料中赤霉酸进行了测定</w:t>
      </w:r>
      <w:r>
        <w:t>，以适合中国肥料市场的特点，与相关的法律法规一起共同起到规范市场、促进产业进步的作用。</w:t>
      </w:r>
    </w:p>
    <w:p w:rsidR="00845831" w:rsidRDefault="00297B50">
      <w:pPr>
        <w:pStyle w:val="2"/>
        <w:spacing w:before="156" w:after="156"/>
      </w:pPr>
      <w:r>
        <w:rPr>
          <w:rFonts w:hint="eastAsia"/>
        </w:rPr>
        <w:t>2</w:t>
      </w:r>
      <w:r w:rsidR="001B407F">
        <w:rPr>
          <w:rFonts w:hint="eastAsia"/>
        </w:rPr>
        <w:t xml:space="preserve"> </w:t>
      </w:r>
      <w:r>
        <w:rPr>
          <w:rFonts w:hint="eastAsia"/>
        </w:rPr>
        <w:t>赤霉酸指标含量和检验方法的论据</w:t>
      </w:r>
    </w:p>
    <w:p w:rsidR="00845831" w:rsidRDefault="00297B50">
      <w:pPr>
        <w:spacing w:before="156" w:after="156"/>
        <w:ind w:firstLine="480"/>
      </w:pPr>
      <w:r>
        <w:rPr>
          <w:rFonts w:hint="eastAsia"/>
        </w:rPr>
        <w:t>SN/T 0350-2012</w:t>
      </w:r>
      <w:r>
        <w:rPr>
          <w:rFonts w:hint="eastAsia"/>
        </w:rPr>
        <w:t>《</w:t>
      </w:r>
      <w:r>
        <w:t>出口水果中赤霉酸残留量的测定液相色谱</w:t>
      </w:r>
      <w:r>
        <w:rPr>
          <w:rFonts w:hint="eastAsia"/>
        </w:rPr>
        <w:t>-</w:t>
      </w:r>
      <w:r>
        <w:t>质谱</w:t>
      </w:r>
      <w:r>
        <w:rPr>
          <w:rFonts w:hint="eastAsia"/>
        </w:rPr>
        <w:t>/</w:t>
      </w:r>
      <w:r>
        <w:t>质谱法</w:t>
      </w:r>
      <w:r>
        <w:rPr>
          <w:rFonts w:hint="eastAsia"/>
        </w:rPr>
        <w:t>》标准中利用液相色谱质谱联用仪测定了水果中赤霉酸的残留量，</w:t>
      </w:r>
      <w:hyperlink r:id="rId9" w:tgtFrame="_blank" w:history="1">
        <w:r>
          <w:t>GB</w:t>
        </w:r>
        <w:r>
          <w:rPr>
            <w:rFonts w:hint="eastAsia"/>
          </w:rPr>
          <w:t>/T</w:t>
        </w:r>
        <w:r>
          <w:t> 15955-2011 </w:t>
        </w:r>
      </w:hyperlink>
      <w:r>
        <w:rPr>
          <w:rFonts w:hint="eastAsia"/>
        </w:rPr>
        <w:t>《赤霉酸原药》中，试样用流动相溶解，以甲醇</w:t>
      </w:r>
      <w:r>
        <w:rPr>
          <w:rFonts w:hint="eastAsia"/>
        </w:rPr>
        <w:t>-</w:t>
      </w:r>
      <w:r>
        <w:rPr>
          <w:rFonts w:hint="eastAsia"/>
        </w:rPr>
        <w:t>磷酸水溶液为流动相，使用以</w:t>
      </w:r>
      <w:r>
        <w:rPr>
          <w:rFonts w:hint="eastAsia"/>
        </w:rPr>
        <w:t>C</w:t>
      </w:r>
      <w:r>
        <w:rPr>
          <w:rFonts w:hint="eastAsia"/>
          <w:vertAlign w:val="subscript"/>
        </w:rPr>
        <w:t>18</w:t>
      </w:r>
      <w:r>
        <w:rPr>
          <w:rFonts w:hint="eastAsia"/>
        </w:rPr>
        <w:t>为填料的不锈钢柱和紫外检测器，对试样中的赤霉酸进行反相高效液相色谱分离和测定，外标法定量。本标准参考</w:t>
      </w:r>
      <w:r>
        <w:rPr>
          <w:rFonts w:hint="eastAsia"/>
        </w:rPr>
        <w:t>SN/T 0350-2012</w:t>
      </w:r>
      <w:r>
        <w:rPr>
          <w:rFonts w:hint="eastAsia"/>
        </w:rPr>
        <w:t>、</w:t>
      </w:r>
      <w:hyperlink r:id="rId10" w:tgtFrame="_blank" w:history="1">
        <w:r>
          <w:t>GB</w:t>
        </w:r>
        <w:r>
          <w:rPr>
            <w:rFonts w:hint="eastAsia"/>
          </w:rPr>
          <w:t>/T</w:t>
        </w:r>
        <w:r>
          <w:t> 15955-2011 </w:t>
        </w:r>
      </w:hyperlink>
      <w:r>
        <w:rPr>
          <w:rFonts w:hint="eastAsia"/>
        </w:rPr>
        <w:t>等相关文献，确定实验前处理过程及仪器参数，按规定条件测定样品和标准溶液，根据样液中赤霉酸的含量情况，选定响应值最适宜的标准工作液进行色谱分析，标准工作液应至少有五个水平，待测样液中赤霉酸的响应值均应在仪器检测的工作范围曲线内，如果检测的质量色谱峰保留时间与标准工作液一致（允许偏差＜±</w:t>
      </w:r>
      <w:r>
        <w:rPr>
          <w:rFonts w:hint="eastAsia"/>
        </w:rPr>
        <w:t>5.0%</w:t>
      </w:r>
      <w:r>
        <w:rPr>
          <w:rFonts w:hint="eastAsia"/>
        </w:rPr>
        <w:t>），定性离子的相对丰度与标准工作液的相对丰度一致，则可判定样品中存在赤霉酸。</w:t>
      </w:r>
    </w:p>
    <w:p w:rsidR="00845831" w:rsidRDefault="00297B50">
      <w:pPr>
        <w:pStyle w:val="2"/>
        <w:spacing w:before="156" w:after="156"/>
      </w:pPr>
      <w:r>
        <w:rPr>
          <w:rFonts w:hint="eastAsia"/>
        </w:rPr>
        <w:lastRenderedPageBreak/>
        <w:t>3</w:t>
      </w:r>
      <w:r w:rsidR="001B407F">
        <w:rPr>
          <w:rFonts w:hint="eastAsia"/>
        </w:rPr>
        <w:t xml:space="preserve"> </w:t>
      </w:r>
      <w:r>
        <w:rPr>
          <w:rFonts w:hint="eastAsia"/>
        </w:rPr>
        <w:t>技术参数</w:t>
      </w:r>
    </w:p>
    <w:p w:rsidR="00845831" w:rsidRDefault="00297B50">
      <w:pPr>
        <w:spacing w:before="156" w:after="156"/>
        <w:ind w:firstLine="480"/>
      </w:pPr>
      <w:r>
        <w:rPr>
          <w:rFonts w:hint="eastAsia"/>
        </w:rPr>
        <w:t>采用高效液相色谱</w:t>
      </w:r>
      <w:r>
        <w:rPr>
          <w:rFonts w:hint="eastAsia"/>
        </w:rPr>
        <w:t>-</w:t>
      </w:r>
      <w:r>
        <w:rPr>
          <w:rFonts w:hint="eastAsia"/>
        </w:rPr>
        <w:t>质谱联用法测定肥料中赤霉酸含量需要测定的技术参数如下：</w:t>
      </w:r>
    </w:p>
    <w:p w:rsidR="00845831" w:rsidRDefault="00297B50">
      <w:pPr>
        <w:spacing w:before="156" w:after="156"/>
        <w:ind w:firstLine="480"/>
      </w:pPr>
      <w:r>
        <w:rPr>
          <w:rFonts w:hint="eastAsia"/>
        </w:rPr>
        <w:t>（</w:t>
      </w:r>
      <w:r>
        <w:rPr>
          <w:rFonts w:hint="eastAsia"/>
        </w:rPr>
        <w:t>1</w:t>
      </w:r>
      <w:r>
        <w:rPr>
          <w:rFonts w:hint="eastAsia"/>
        </w:rPr>
        <w:t>）确定实验最优实验参数，包括样品前处理、仪器条件以及溶液浓度等；</w:t>
      </w:r>
    </w:p>
    <w:p w:rsidR="00845831" w:rsidRDefault="00297B50">
      <w:pPr>
        <w:spacing w:before="156" w:after="156"/>
        <w:ind w:firstLine="480"/>
      </w:pPr>
      <w:r>
        <w:rPr>
          <w:rFonts w:hint="eastAsia"/>
        </w:rPr>
        <w:t>（</w:t>
      </w:r>
      <w:r>
        <w:rPr>
          <w:rFonts w:hint="eastAsia"/>
        </w:rPr>
        <w:t>2</w:t>
      </w:r>
      <w:r>
        <w:rPr>
          <w:rFonts w:hint="eastAsia"/>
        </w:rPr>
        <w:t>）对试剂和肥料样品进行初测，了解试剂和肥料中赤霉酸大概含量，以此确定称样量和样品稀释倍数；</w:t>
      </w:r>
    </w:p>
    <w:p w:rsidR="00845831" w:rsidRDefault="00297B50">
      <w:pPr>
        <w:spacing w:before="156" w:after="156"/>
        <w:ind w:firstLine="480"/>
      </w:pPr>
      <w:r>
        <w:rPr>
          <w:rFonts w:hint="eastAsia"/>
        </w:rPr>
        <w:t>（</w:t>
      </w:r>
      <w:r>
        <w:rPr>
          <w:rFonts w:hint="eastAsia"/>
        </w:rPr>
        <w:t>3</w:t>
      </w:r>
      <w:r>
        <w:rPr>
          <w:rFonts w:hint="eastAsia"/>
        </w:rPr>
        <w:t>）进行方法曲线线性、重复性、精密度、回收率、检出限等实验。确立平行测定结果允许差；</w:t>
      </w:r>
    </w:p>
    <w:p w:rsidR="00845831" w:rsidRDefault="00297B50">
      <w:pPr>
        <w:spacing w:before="156" w:after="156"/>
        <w:ind w:firstLine="480"/>
      </w:pPr>
      <w:r>
        <w:rPr>
          <w:rFonts w:hint="eastAsia"/>
        </w:rPr>
        <w:t>（</w:t>
      </w:r>
      <w:r>
        <w:rPr>
          <w:rFonts w:hint="eastAsia"/>
        </w:rPr>
        <w:t>4</w:t>
      </w:r>
      <w:r>
        <w:rPr>
          <w:rFonts w:hint="eastAsia"/>
        </w:rPr>
        <w:t>）选择若干家实验室，进行不同实验室间方法验证和比对试验，确立不同实验室间允许差；</w:t>
      </w:r>
    </w:p>
    <w:p w:rsidR="00845831" w:rsidRDefault="00297B50">
      <w:pPr>
        <w:pStyle w:val="2"/>
        <w:spacing w:before="156" w:after="156"/>
        <w:rPr>
          <w:bCs w:val="0"/>
        </w:rPr>
      </w:pPr>
      <w:r>
        <w:rPr>
          <w:rFonts w:hint="eastAsia"/>
          <w:bCs w:val="0"/>
        </w:rPr>
        <w:t>4</w:t>
      </w:r>
      <w:r w:rsidR="001B407F">
        <w:rPr>
          <w:rFonts w:hint="eastAsia"/>
          <w:bCs w:val="0"/>
        </w:rPr>
        <w:t xml:space="preserve"> </w:t>
      </w:r>
      <w:r>
        <w:rPr>
          <w:bCs w:val="0"/>
        </w:rPr>
        <w:t>解决的主要问题</w:t>
      </w:r>
    </w:p>
    <w:p w:rsidR="00845831" w:rsidRDefault="00297B50">
      <w:pPr>
        <w:spacing w:before="156" w:after="156"/>
        <w:ind w:firstLine="480"/>
        <w:rPr>
          <w:b/>
          <w:bCs/>
        </w:rPr>
      </w:pPr>
      <w:r>
        <w:t>根据目前肥料中违禁添加或过量添加植物生长调节剂的现状，研究肥料中违禁添加的赤霉酸，筛选、优化肥料产品中赤霉酸的前处理方法，对产品中的</w:t>
      </w:r>
      <w:r>
        <w:rPr>
          <w:rFonts w:hint="eastAsia"/>
        </w:rPr>
        <w:t>赤霉酸</w:t>
      </w:r>
      <w:r>
        <w:t>进行测定，提高检测以及监管信息反馈工作效率</w:t>
      </w:r>
      <w:r>
        <w:rPr>
          <w:rFonts w:hint="eastAsia"/>
        </w:rPr>
        <w:t>，</w:t>
      </w:r>
      <w:r>
        <w:t>确定了稳定性好、准确度高、回收率高、易于操作的检测方法</w:t>
      </w:r>
      <w:r>
        <w:rPr>
          <w:rFonts w:hint="eastAsia"/>
        </w:rPr>
        <w:t>，</w:t>
      </w:r>
      <w:r>
        <w:t>为打击</w:t>
      </w:r>
      <w:r>
        <w:rPr>
          <w:rFonts w:hint="eastAsia"/>
        </w:rPr>
        <w:t>违法添加</w:t>
      </w:r>
      <w:r>
        <w:t>肥料产品工作以及肥料产品质量安全风险评估提供技术支撑。</w:t>
      </w:r>
    </w:p>
    <w:p w:rsidR="00845831" w:rsidRDefault="00297B50">
      <w:pPr>
        <w:pStyle w:val="1"/>
        <w:spacing w:before="156" w:after="156"/>
        <w:rPr>
          <w:rFonts w:ascii="仿宋_GB2312" w:eastAsia="仿宋_GB2312"/>
          <w:sz w:val="28"/>
          <w:szCs w:val="28"/>
        </w:rPr>
      </w:pPr>
      <w:r>
        <w:rPr>
          <w:rFonts w:hint="eastAsia"/>
        </w:rPr>
        <w:t>三、</w:t>
      </w:r>
      <w:r>
        <w:t>主要试验（或验证）</w:t>
      </w:r>
      <w:r>
        <w:rPr>
          <w:rFonts w:hint="eastAsia"/>
        </w:rPr>
        <w:t>的分析、综述报告、预期的经济效果</w:t>
      </w:r>
      <w:r>
        <w:t>；</w:t>
      </w:r>
    </w:p>
    <w:p w:rsidR="00845831" w:rsidRDefault="00297B50">
      <w:pPr>
        <w:pStyle w:val="2"/>
        <w:spacing w:before="156" w:after="156"/>
      </w:pPr>
      <w:r>
        <w:rPr>
          <w:rFonts w:hint="eastAsia"/>
        </w:rPr>
        <w:t>1</w:t>
      </w:r>
      <w:r w:rsidR="001B407F">
        <w:rPr>
          <w:rFonts w:hint="eastAsia"/>
        </w:rPr>
        <w:t xml:space="preserve"> </w:t>
      </w:r>
      <w:r>
        <w:t>前处理条件的选择</w:t>
      </w:r>
    </w:p>
    <w:p w:rsidR="00845831" w:rsidRDefault="00297B50">
      <w:pPr>
        <w:pStyle w:val="3"/>
        <w:spacing w:before="156" w:after="156"/>
        <w:rPr>
          <w:color w:val="000000"/>
        </w:rPr>
      </w:pPr>
      <w:r>
        <w:rPr>
          <w:rFonts w:hint="eastAsia"/>
          <w:color w:val="000000"/>
        </w:rPr>
        <w:t>1.1</w:t>
      </w:r>
      <w:r>
        <w:rPr>
          <w:rFonts w:hint="eastAsia"/>
          <w:color w:val="000000"/>
        </w:rPr>
        <w:t>提取方式的选择</w:t>
      </w:r>
    </w:p>
    <w:p w:rsidR="00845831" w:rsidRDefault="00297B50">
      <w:pPr>
        <w:spacing w:before="156" w:after="156"/>
        <w:ind w:firstLine="480"/>
      </w:pPr>
      <w:r>
        <w:t>振荡、涡旋和超声是目前液固提取、液液提取较常用的手段，不同肥料样品对提取液的亲和性不同，为了更好地提取样品中的赤霉酸，实验在加入提取剂（</w:t>
      </w:r>
      <w:r>
        <w:t>0.1%</w:t>
      </w:r>
      <w:r>
        <w:t>甲酸</w:t>
      </w:r>
      <w:r>
        <w:t>-</w:t>
      </w:r>
      <w:r>
        <w:t>甲醇溶液和</w:t>
      </w:r>
      <w:r>
        <w:t>0.1%</w:t>
      </w:r>
      <w:r>
        <w:t>甲酸溶液）后，分别尝试了振荡、涡旋、超声、振荡后超声及涡旋后超声等五种提取方式，实验结果的回收率结果（见表</w:t>
      </w:r>
      <w:r>
        <w:rPr>
          <w:rFonts w:hint="eastAsia"/>
        </w:rPr>
        <w:t>1</w:t>
      </w:r>
      <w:r>
        <w:t>）表明，仅仅振荡、、涡旋、超声难以达到良好的提取效果，实验利用</w:t>
      </w:r>
      <w:r>
        <w:rPr>
          <w:szCs w:val="20"/>
        </w:rPr>
        <w:t>漩涡混合器均质</w:t>
      </w:r>
      <w:r>
        <w:rPr>
          <w:szCs w:val="20"/>
        </w:rPr>
        <w:t>1 min</w:t>
      </w:r>
      <w:r>
        <w:t>，</w:t>
      </w:r>
      <w:r>
        <w:lastRenderedPageBreak/>
        <w:t>再超声</w:t>
      </w:r>
      <w:r>
        <w:t>30</w:t>
      </w:r>
      <w:r>
        <w:rPr>
          <w:rFonts w:hint="eastAsia"/>
        </w:rPr>
        <w:t xml:space="preserve"> </w:t>
      </w:r>
      <w:r>
        <w:t>min</w:t>
      </w:r>
      <w:r>
        <w:t>使样品充分浸润分散，样品回收率接近</w:t>
      </w:r>
      <w:r>
        <w:t>90%</w:t>
      </w:r>
      <w:r>
        <w:t>，提取效果良好。</w:t>
      </w:r>
    </w:p>
    <w:p w:rsidR="00845831" w:rsidRDefault="00297B50">
      <w:pPr>
        <w:spacing w:before="156" w:afterLines="0"/>
        <w:ind w:firstLine="420"/>
        <w:jc w:val="center"/>
        <w:rPr>
          <w:sz w:val="21"/>
          <w:szCs w:val="21"/>
        </w:rPr>
      </w:pPr>
      <w:r>
        <w:rPr>
          <w:sz w:val="21"/>
          <w:szCs w:val="21"/>
        </w:rPr>
        <w:t>表</w:t>
      </w:r>
      <w:r>
        <w:rPr>
          <w:rFonts w:hint="eastAsia"/>
          <w:sz w:val="21"/>
          <w:szCs w:val="21"/>
        </w:rPr>
        <w:t>1</w:t>
      </w:r>
      <w:r>
        <w:rPr>
          <w:sz w:val="21"/>
          <w:szCs w:val="21"/>
        </w:rPr>
        <w:t xml:space="preserve"> </w:t>
      </w:r>
      <w:r>
        <w:rPr>
          <w:sz w:val="21"/>
          <w:szCs w:val="21"/>
        </w:rPr>
        <w:t>提取方式的比较</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600"/>
        <w:gridCol w:w="2131"/>
        <w:gridCol w:w="2131"/>
      </w:tblGrid>
      <w:tr w:rsidR="00845831" w:rsidTr="00B972E2">
        <w:trPr>
          <w:trHeight w:hRule="exact" w:val="567"/>
        </w:trPr>
        <w:tc>
          <w:tcPr>
            <w:tcW w:w="2660" w:type="dxa"/>
            <w:vAlign w:val="center"/>
          </w:tcPr>
          <w:p w:rsidR="00845831" w:rsidRDefault="00297B50" w:rsidP="00B972E2">
            <w:pPr>
              <w:spacing w:before="156" w:after="156" w:line="240" w:lineRule="auto"/>
              <w:ind w:firstLineChars="0" w:firstLine="0"/>
              <w:jc w:val="center"/>
              <w:rPr>
                <w:sz w:val="21"/>
                <w:szCs w:val="21"/>
              </w:rPr>
            </w:pPr>
            <w:r>
              <w:rPr>
                <w:sz w:val="21"/>
                <w:szCs w:val="21"/>
              </w:rPr>
              <w:t>提取方式</w:t>
            </w:r>
          </w:p>
        </w:tc>
        <w:tc>
          <w:tcPr>
            <w:tcW w:w="1600" w:type="dxa"/>
            <w:shd w:val="clear" w:color="auto" w:fill="auto"/>
            <w:vAlign w:val="center"/>
          </w:tcPr>
          <w:p w:rsidR="00845831" w:rsidRDefault="00297B50" w:rsidP="00B972E2">
            <w:pPr>
              <w:spacing w:before="156" w:after="156" w:line="240" w:lineRule="auto"/>
              <w:ind w:firstLineChars="0" w:firstLine="0"/>
              <w:jc w:val="center"/>
              <w:rPr>
                <w:sz w:val="21"/>
                <w:szCs w:val="21"/>
              </w:rPr>
            </w:pPr>
            <w:r>
              <w:rPr>
                <w:sz w:val="21"/>
                <w:szCs w:val="21"/>
              </w:rPr>
              <w:t>称样量</w:t>
            </w:r>
          </w:p>
        </w:tc>
        <w:tc>
          <w:tcPr>
            <w:tcW w:w="2131" w:type="dxa"/>
            <w:shd w:val="clear" w:color="auto" w:fill="auto"/>
            <w:vAlign w:val="center"/>
          </w:tcPr>
          <w:p w:rsidR="00845831" w:rsidRDefault="00297B50" w:rsidP="00B972E2">
            <w:pPr>
              <w:spacing w:before="156" w:after="156" w:line="240" w:lineRule="auto"/>
              <w:ind w:firstLineChars="0" w:firstLine="0"/>
              <w:jc w:val="center"/>
              <w:rPr>
                <w:sz w:val="21"/>
                <w:szCs w:val="21"/>
              </w:rPr>
            </w:pPr>
            <w:r>
              <w:rPr>
                <w:sz w:val="21"/>
                <w:szCs w:val="21"/>
              </w:rPr>
              <w:t>溶剂</w:t>
            </w:r>
          </w:p>
        </w:tc>
        <w:tc>
          <w:tcPr>
            <w:tcW w:w="2131" w:type="dxa"/>
            <w:shd w:val="clear" w:color="auto" w:fill="auto"/>
            <w:vAlign w:val="center"/>
          </w:tcPr>
          <w:p w:rsidR="00845831" w:rsidRDefault="00297B50" w:rsidP="00B972E2">
            <w:pPr>
              <w:spacing w:before="156" w:after="156" w:line="240" w:lineRule="auto"/>
              <w:ind w:firstLineChars="0" w:firstLine="0"/>
              <w:jc w:val="center"/>
              <w:rPr>
                <w:sz w:val="21"/>
                <w:szCs w:val="21"/>
              </w:rPr>
            </w:pPr>
            <w:r>
              <w:rPr>
                <w:sz w:val="21"/>
                <w:szCs w:val="21"/>
              </w:rPr>
              <w:t>回收率</w:t>
            </w:r>
            <w:r>
              <w:rPr>
                <w:sz w:val="21"/>
                <w:szCs w:val="21"/>
              </w:rPr>
              <w:t>/%</w:t>
            </w:r>
          </w:p>
        </w:tc>
      </w:tr>
      <w:tr w:rsidR="00845831" w:rsidTr="00B972E2">
        <w:trPr>
          <w:trHeight w:hRule="exact" w:val="567"/>
        </w:trPr>
        <w:tc>
          <w:tcPr>
            <w:tcW w:w="2660" w:type="dxa"/>
            <w:vAlign w:val="center"/>
          </w:tcPr>
          <w:p w:rsidR="00845831" w:rsidRDefault="00297B50" w:rsidP="00B972E2">
            <w:pPr>
              <w:spacing w:before="156" w:after="156" w:line="240" w:lineRule="auto"/>
              <w:ind w:firstLineChars="0" w:firstLine="0"/>
              <w:jc w:val="center"/>
              <w:rPr>
                <w:sz w:val="21"/>
                <w:szCs w:val="21"/>
              </w:rPr>
            </w:pPr>
            <w:r>
              <w:rPr>
                <w:sz w:val="21"/>
                <w:szCs w:val="21"/>
              </w:rPr>
              <w:t>振荡</w:t>
            </w:r>
            <w:r>
              <w:rPr>
                <w:sz w:val="21"/>
                <w:szCs w:val="21"/>
              </w:rPr>
              <w:t>1</w:t>
            </w:r>
            <w:r>
              <w:rPr>
                <w:rFonts w:hint="eastAsia"/>
                <w:sz w:val="21"/>
                <w:szCs w:val="21"/>
              </w:rPr>
              <w:t xml:space="preserve"> </w:t>
            </w:r>
            <w:r>
              <w:rPr>
                <w:sz w:val="21"/>
                <w:szCs w:val="21"/>
              </w:rPr>
              <w:t>min</w:t>
            </w:r>
          </w:p>
        </w:tc>
        <w:tc>
          <w:tcPr>
            <w:tcW w:w="1600" w:type="dxa"/>
            <w:vMerge w:val="restart"/>
            <w:shd w:val="clear" w:color="auto" w:fill="auto"/>
            <w:vAlign w:val="center"/>
          </w:tcPr>
          <w:p w:rsidR="00845831" w:rsidRDefault="00297B50" w:rsidP="00B972E2">
            <w:pPr>
              <w:spacing w:before="156" w:after="156" w:line="240" w:lineRule="auto"/>
              <w:ind w:firstLineChars="0" w:firstLine="0"/>
              <w:jc w:val="center"/>
              <w:rPr>
                <w:sz w:val="21"/>
                <w:szCs w:val="21"/>
              </w:rPr>
            </w:pPr>
            <w:r>
              <w:rPr>
                <w:sz w:val="21"/>
                <w:szCs w:val="21"/>
              </w:rPr>
              <w:t>1g</w:t>
            </w:r>
          </w:p>
        </w:tc>
        <w:tc>
          <w:tcPr>
            <w:tcW w:w="2131" w:type="dxa"/>
            <w:vMerge w:val="restart"/>
            <w:shd w:val="clear" w:color="auto" w:fill="auto"/>
            <w:vAlign w:val="center"/>
          </w:tcPr>
          <w:p w:rsidR="00845831" w:rsidRDefault="00297B50" w:rsidP="00B972E2">
            <w:pPr>
              <w:spacing w:before="156" w:after="156" w:line="240" w:lineRule="auto"/>
              <w:ind w:firstLineChars="0" w:firstLine="0"/>
              <w:jc w:val="center"/>
              <w:rPr>
                <w:sz w:val="21"/>
                <w:szCs w:val="21"/>
              </w:rPr>
            </w:pPr>
            <w:r>
              <w:rPr>
                <w:sz w:val="21"/>
                <w:szCs w:val="21"/>
              </w:rPr>
              <w:t>0.1%</w:t>
            </w:r>
            <w:r>
              <w:rPr>
                <w:sz w:val="21"/>
                <w:szCs w:val="21"/>
              </w:rPr>
              <w:t>甲酸</w:t>
            </w:r>
            <w:r>
              <w:rPr>
                <w:sz w:val="21"/>
                <w:szCs w:val="21"/>
              </w:rPr>
              <w:t>-</w:t>
            </w:r>
            <w:r>
              <w:rPr>
                <w:sz w:val="21"/>
                <w:szCs w:val="21"/>
              </w:rPr>
              <w:t>甲醇溶液和</w:t>
            </w:r>
            <w:r>
              <w:rPr>
                <w:sz w:val="21"/>
                <w:szCs w:val="21"/>
              </w:rPr>
              <w:t>0.1%</w:t>
            </w:r>
            <w:r>
              <w:rPr>
                <w:sz w:val="21"/>
                <w:szCs w:val="21"/>
              </w:rPr>
              <w:t>甲酸溶液</w:t>
            </w:r>
          </w:p>
        </w:tc>
        <w:tc>
          <w:tcPr>
            <w:tcW w:w="2131" w:type="dxa"/>
            <w:shd w:val="clear" w:color="auto" w:fill="auto"/>
            <w:vAlign w:val="center"/>
          </w:tcPr>
          <w:p w:rsidR="00845831" w:rsidRDefault="00297B50" w:rsidP="00B972E2">
            <w:pPr>
              <w:spacing w:before="156" w:after="156" w:line="240" w:lineRule="auto"/>
              <w:ind w:firstLineChars="0" w:firstLine="0"/>
              <w:jc w:val="center"/>
              <w:rPr>
                <w:sz w:val="21"/>
                <w:szCs w:val="21"/>
              </w:rPr>
            </w:pPr>
            <w:r>
              <w:rPr>
                <w:sz w:val="21"/>
                <w:szCs w:val="21"/>
              </w:rPr>
              <w:t>35</w:t>
            </w:r>
            <w:r>
              <w:rPr>
                <w:rFonts w:hint="eastAsia"/>
                <w:sz w:val="21"/>
                <w:szCs w:val="21"/>
              </w:rPr>
              <w:t>.5</w:t>
            </w:r>
          </w:p>
        </w:tc>
      </w:tr>
      <w:tr w:rsidR="00845831" w:rsidTr="00B972E2">
        <w:trPr>
          <w:trHeight w:hRule="exact" w:val="567"/>
        </w:trPr>
        <w:tc>
          <w:tcPr>
            <w:tcW w:w="2660" w:type="dxa"/>
            <w:vAlign w:val="center"/>
          </w:tcPr>
          <w:p w:rsidR="00845831" w:rsidRDefault="00297B50" w:rsidP="00B972E2">
            <w:pPr>
              <w:spacing w:before="156" w:after="156" w:line="240" w:lineRule="auto"/>
              <w:ind w:firstLineChars="0" w:firstLine="0"/>
              <w:jc w:val="center"/>
              <w:rPr>
                <w:sz w:val="21"/>
                <w:szCs w:val="21"/>
              </w:rPr>
            </w:pPr>
            <w:r>
              <w:rPr>
                <w:sz w:val="21"/>
                <w:szCs w:val="21"/>
              </w:rPr>
              <w:t>涡旋</w:t>
            </w:r>
            <w:r>
              <w:rPr>
                <w:sz w:val="21"/>
                <w:szCs w:val="21"/>
              </w:rPr>
              <w:t>1</w:t>
            </w:r>
            <w:r>
              <w:rPr>
                <w:rFonts w:hint="eastAsia"/>
                <w:sz w:val="21"/>
                <w:szCs w:val="21"/>
              </w:rPr>
              <w:t xml:space="preserve"> </w:t>
            </w:r>
            <w:r>
              <w:rPr>
                <w:sz w:val="21"/>
                <w:szCs w:val="21"/>
              </w:rPr>
              <w:t>min</w:t>
            </w:r>
          </w:p>
        </w:tc>
        <w:tc>
          <w:tcPr>
            <w:tcW w:w="1600" w:type="dxa"/>
            <w:vMerge/>
            <w:shd w:val="clear" w:color="auto" w:fill="auto"/>
            <w:vAlign w:val="center"/>
          </w:tcPr>
          <w:p w:rsidR="00845831" w:rsidRDefault="00845831" w:rsidP="00B972E2">
            <w:pPr>
              <w:spacing w:before="156" w:after="156" w:line="240" w:lineRule="auto"/>
              <w:ind w:firstLine="420"/>
              <w:jc w:val="center"/>
              <w:rPr>
                <w:sz w:val="21"/>
                <w:szCs w:val="21"/>
              </w:rPr>
            </w:pPr>
          </w:p>
        </w:tc>
        <w:tc>
          <w:tcPr>
            <w:tcW w:w="2131" w:type="dxa"/>
            <w:vMerge/>
            <w:shd w:val="clear" w:color="auto" w:fill="auto"/>
            <w:vAlign w:val="center"/>
          </w:tcPr>
          <w:p w:rsidR="00845831" w:rsidRDefault="00845831" w:rsidP="00B972E2">
            <w:pPr>
              <w:spacing w:before="156" w:after="156" w:line="240" w:lineRule="auto"/>
              <w:ind w:firstLineChars="0" w:firstLine="0"/>
              <w:jc w:val="center"/>
              <w:rPr>
                <w:sz w:val="21"/>
                <w:szCs w:val="21"/>
              </w:rPr>
            </w:pPr>
          </w:p>
        </w:tc>
        <w:tc>
          <w:tcPr>
            <w:tcW w:w="2131" w:type="dxa"/>
            <w:shd w:val="clear" w:color="auto" w:fill="auto"/>
            <w:vAlign w:val="center"/>
          </w:tcPr>
          <w:p w:rsidR="00845831" w:rsidRDefault="00297B50" w:rsidP="00B972E2">
            <w:pPr>
              <w:spacing w:before="156" w:after="156" w:line="240" w:lineRule="auto"/>
              <w:ind w:firstLineChars="0" w:firstLine="0"/>
              <w:jc w:val="center"/>
              <w:rPr>
                <w:sz w:val="21"/>
                <w:szCs w:val="21"/>
              </w:rPr>
            </w:pPr>
            <w:r>
              <w:rPr>
                <w:sz w:val="21"/>
                <w:szCs w:val="21"/>
              </w:rPr>
              <w:t>46</w:t>
            </w:r>
            <w:r>
              <w:rPr>
                <w:rFonts w:hint="eastAsia"/>
                <w:sz w:val="21"/>
                <w:szCs w:val="21"/>
              </w:rPr>
              <w:t>.7</w:t>
            </w:r>
          </w:p>
        </w:tc>
      </w:tr>
      <w:tr w:rsidR="00845831" w:rsidTr="00B972E2">
        <w:trPr>
          <w:trHeight w:hRule="exact" w:val="567"/>
        </w:trPr>
        <w:tc>
          <w:tcPr>
            <w:tcW w:w="2660" w:type="dxa"/>
            <w:vAlign w:val="center"/>
          </w:tcPr>
          <w:p w:rsidR="00845831" w:rsidRDefault="00297B50" w:rsidP="00B972E2">
            <w:pPr>
              <w:spacing w:before="156" w:after="156" w:line="240" w:lineRule="auto"/>
              <w:ind w:firstLineChars="0" w:firstLine="0"/>
              <w:jc w:val="center"/>
              <w:rPr>
                <w:sz w:val="21"/>
                <w:szCs w:val="21"/>
              </w:rPr>
            </w:pPr>
            <w:r>
              <w:rPr>
                <w:sz w:val="21"/>
                <w:szCs w:val="21"/>
              </w:rPr>
              <w:t>超声</w:t>
            </w:r>
            <w:r>
              <w:rPr>
                <w:sz w:val="21"/>
                <w:szCs w:val="21"/>
              </w:rPr>
              <w:t>30</w:t>
            </w:r>
            <w:r>
              <w:rPr>
                <w:rFonts w:hint="eastAsia"/>
                <w:sz w:val="21"/>
                <w:szCs w:val="21"/>
              </w:rPr>
              <w:t xml:space="preserve"> </w:t>
            </w:r>
            <w:r>
              <w:rPr>
                <w:sz w:val="21"/>
                <w:szCs w:val="21"/>
              </w:rPr>
              <w:t>min</w:t>
            </w:r>
          </w:p>
        </w:tc>
        <w:tc>
          <w:tcPr>
            <w:tcW w:w="1600" w:type="dxa"/>
            <w:vMerge/>
            <w:shd w:val="clear" w:color="auto" w:fill="auto"/>
            <w:vAlign w:val="center"/>
          </w:tcPr>
          <w:p w:rsidR="00845831" w:rsidRDefault="00845831" w:rsidP="00B972E2">
            <w:pPr>
              <w:spacing w:before="156" w:after="156" w:line="240" w:lineRule="auto"/>
              <w:ind w:firstLine="420"/>
              <w:jc w:val="center"/>
              <w:rPr>
                <w:sz w:val="21"/>
                <w:szCs w:val="21"/>
              </w:rPr>
            </w:pPr>
          </w:p>
        </w:tc>
        <w:tc>
          <w:tcPr>
            <w:tcW w:w="2131" w:type="dxa"/>
            <w:vMerge/>
            <w:shd w:val="clear" w:color="auto" w:fill="auto"/>
            <w:vAlign w:val="center"/>
          </w:tcPr>
          <w:p w:rsidR="00845831" w:rsidRDefault="00845831" w:rsidP="00B972E2">
            <w:pPr>
              <w:spacing w:before="156" w:after="156" w:line="240" w:lineRule="auto"/>
              <w:ind w:firstLineChars="0" w:firstLine="0"/>
              <w:jc w:val="center"/>
              <w:rPr>
                <w:sz w:val="21"/>
                <w:szCs w:val="21"/>
              </w:rPr>
            </w:pPr>
          </w:p>
        </w:tc>
        <w:tc>
          <w:tcPr>
            <w:tcW w:w="2131" w:type="dxa"/>
            <w:shd w:val="clear" w:color="auto" w:fill="auto"/>
            <w:vAlign w:val="center"/>
          </w:tcPr>
          <w:p w:rsidR="00845831" w:rsidRDefault="00297B50" w:rsidP="00B972E2">
            <w:pPr>
              <w:spacing w:before="156" w:after="156" w:line="240" w:lineRule="auto"/>
              <w:ind w:firstLineChars="0" w:firstLine="0"/>
              <w:jc w:val="center"/>
              <w:rPr>
                <w:sz w:val="21"/>
                <w:szCs w:val="21"/>
              </w:rPr>
            </w:pPr>
            <w:r>
              <w:rPr>
                <w:sz w:val="21"/>
                <w:szCs w:val="21"/>
              </w:rPr>
              <w:t>57</w:t>
            </w:r>
            <w:r>
              <w:rPr>
                <w:rFonts w:hint="eastAsia"/>
                <w:sz w:val="21"/>
                <w:szCs w:val="21"/>
              </w:rPr>
              <w:t>.9</w:t>
            </w:r>
          </w:p>
        </w:tc>
      </w:tr>
      <w:tr w:rsidR="00845831" w:rsidTr="00B972E2">
        <w:trPr>
          <w:trHeight w:hRule="exact" w:val="567"/>
        </w:trPr>
        <w:tc>
          <w:tcPr>
            <w:tcW w:w="2660" w:type="dxa"/>
            <w:vAlign w:val="center"/>
          </w:tcPr>
          <w:p w:rsidR="00845831" w:rsidRDefault="00297B50" w:rsidP="00B972E2">
            <w:pPr>
              <w:spacing w:before="156" w:after="156" w:line="240" w:lineRule="auto"/>
              <w:ind w:firstLineChars="0" w:firstLine="0"/>
              <w:jc w:val="center"/>
              <w:rPr>
                <w:sz w:val="21"/>
                <w:szCs w:val="21"/>
              </w:rPr>
            </w:pPr>
            <w:r>
              <w:rPr>
                <w:sz w:val="21"/>
                <w:szCs w:val="21"/>
              </w:rPr>
              <w:t>振荡</w:t>
            </w:r>
            <w:r>
              <w:rPr>
                <w:sz w:val="21"/>
                <w:szCs w:val="21"/>
              </w:rPr>
              <w:t>1</w:t>
            </w:r>
            <w:r>
              <w:rPr>
                <w:rFonts w:hint="eastAsia"/>
                <w:sz w:val="21"/>
                <w:szCs w:val="21"/>
              </w:rPr>
              <w:t xml:space="preserve"> </w:t>
            </w:r>
            <w:r>
              <w:rPr>
                <w:sz w:val="21"/>
                <w:szCs w:val="21"/>
              </w:rPr>
              <w:t>min</w:t>
            </w:r>
            <w:r>
              <w:rPr>
                <w:sz w:val="21"/>
                <w:szCs w:val="21"/>
              </w:rPr>
              <w:t>后超声</w:t>
            </w:r>
            <w:r>
              <w:rPr>
                <w:sz w:val="21"/>
                <w:szCs w:val="21"/>
              </w:rPr>
              <w:t>30</w:t>
            </w:r>
            <w:r>
              <w:rPr>
                <w:rFonts w:hint="eastAsia"/>
                <w:sz w:val="21"/>
                <w:szCs w:val="21"/>
              </w:rPr>
              <w:t xml:space="preserve"> </w:t>
            </w:r>
            <w:r>
              <w:rPr>
                <w:sz w:val="21"/>
                <w:szCs w:val="21"/>
              </w:rPr>
              <w:t>min</w:t>
            </w:r>
          </w:p>
        </w:tc>
        <w:tc>
          <w:tcPr>
            <w:tcW w:w="1600" w:type="dxa"/>
            <w:vMerge/>
            <w:shd w:val="clear" w:color="auto" w:fill="auto"/>
            <w:vAlign w:val="center"/>
          </w:tcPr>
          <w:p w:rsidR="00845831" w:rsidRDefault="00845831" w:rsidP="00B972E2">
            <w:pPr>
              <w:spacing w:before="156" w:after="156" w:line="240" w:lineRule="auto"/>
              <w:ind w:firstLine="420"/>
              <w:jc w:val="center"/>
              <w:rPr>
                <w:sz w:val="21"/>
                <w:szCs w:val="21"/>
              </w:rPr>
            </w:pPr>
          </w:p>
        </w:tc>
        <w:tc>
          <w:tcPr>
            <w:tcW w:w="2131" w:type="dxa"/>
            <w:vMerge/>
            <w:shd w:val="clear" w:color="auto" w:fill="auto"/>
            <w:vAlign w:val="center"/>
          </w:tcPr>
          <w:p w:rsidR="00845831" w:rsidRDefault="00845831" w:rsidP="00B972E2">
            <w:pPr>
              <w:spacing w:before="156" w:after="156" w:line="240" w:lineRule="auto"/>
              <w:ind w:firstLineChars="0" w:firstLine="0"/>
              <w:jc w:val="center"/>
              <w:rPr>
                <w:sz w:val="21"/>
                <w:szCs w:val="21"/>
              </w:rPr>
            </w:pPr>
          </w:p>
        </w:tc>
        <w:tc>
          <w:tcPr>
            <w:tcW w:w="2131" w:type="dxa"/>
            <w:shd w:val="clear" w:color="auto" w:fill="auto"/>
            <w:vAlign w:val="center"/>
          </w:tcPr>
          <w:p w:rsidR="00845831" w:rsidRDefault="00297B50" w:rsidP="00B972E2">
            <w:pPr>
              <w:spacing w:before="156" w:after="156" w:line="240" w:lineRule="auto"/>
              <w:ind w:firstLineChars="0" w:firstLine="0"/>
              <w:jc w:val="center"/>
              <w:rPr>
                <w:sz w:val="21"/>
                <w:szCs w:val="21"/>
              </w:rPr>
            </w:pPr>
            <w:r>
              <w:rPr>
                <w:sz w:val="21"/>
                <w:szCs w:val="21"/>
              </w:rPr>
              <w:t>69</w:t>
            </w:r>
            <w:r>
              <w:rPr>
                <w:rFonts w:hint="eastAsia"/>
                <w:sz w:val="21"/>
                <w:szCs w:val="21"/>
              </w:rPr>
              <w:t>.2</w:t>
            </w:r>
          </w:p>
        </w:tc>
      </w:tr>
      <w:tr w:rsidR="00845831" w:rsidTr="00B972E2">
        <w:trPr>
          <w:trHeight w:hRule="exact" w:val="567"/>
        </w:trPr>
        <w:tc>
          <w:tcPr>
            <w:tcW w:w="2660" w:type="dxa"/>
            <w:vAlign w:val="center"/>
          </w:tcPr>
          <w:p w:rsidR="00845831" w:rsidRDefault="00297B50" w:rsidP="00B972E2">
            <w:pPr>
              <w:spacing w:before="156" w:after="156" w:line="240" w:lineRule="auto"/>
              <w:ind w:firstLineChars="0" w:firstLine="0"/>
              <w:jc w:val="center"/>
              <w:rPr>
                <w:sz w:val="21"/>
                <w:szCs w:val="21"/>
              </w:rPr>
            </w:pPr>
            <w:r>
              <w:rPr>
                <w:sz w:val="21"/>
                <w:szCs w:val="21"/>
              </w:rPr>
              <w:t>涡旋</w:t>
            </w:r>
            <w:r>
              <w:rPr>
                <w:sz w:val="21"/>
                <w:szCs w:val="21"/>
              </w:rPr>
              <w:t>1</w:t>
            </w:r>
            <w:r>
              <w:rPr>
                <w:rFonts w:hint="eastAsia"/>
                <w:sz w:val="21"/>
                <w:szCs w:val="21"/>
              </w:rPr>
              <w:t xml:space="preserve"> </w:t>
            </w:r>
            <w:r>
              <w:rPr>
                <w:sz w:val="21"/>
                <w:szCs w:val="21"/>
              </w:rPr>
              <w:t>min</w:t>
            </w:r>
            <w:r>
              <w:rPr>
                <w:sz w:val="21"/>
                <w:szCs w:val="21"/>
              </w:rPr>
              <w:t>后超声</w:t>
            </w:r>
            <w:r>
              <w:rPr>
                <w:sz w:val="21"/>
                <w:szCs w:val="21"/>
              </w:rPr>
              <w:t>30</w:t>
            </w:r>
            <w:r>
              <w:rPr>
                <w:rFonts w:hint="eastAsia"/>
                <w:sz w:val="21"/>
                <w:szCs w:val="21"/>
              </w:rPr>
              <w:t xml:space="preserve"> </w:t>
            </w:r>
            <w:r>
              <w:rPr>
                <w:sz w:val="21"/>
                <w:szCs w:val="21"/>
              </w:rPr>
              <w:t>min</w:t>
            </w:r>
          </w:p>
        </w:tc>
        <w:tc>
          <w:tcPr>
            <w:tcW w:w="1600" w:type="dxa"/>
            <w:vMerge/>
            <w:shd w:val="clear" w:color="auto" w:fill="auto"/>
            <w:vAlign w:val="center"/>
          </w:tcPr>
          <w:p w:rsidR="00845831" w:rsidRDefault="00845831" w:rsidP="00B972E2">
            <w:pPr>
              <w:spacing w:before="156" w:after="156" w:line="240" w:lineRule="auto"/>
              <w:ind w:firstLineChars="0" w:firstLine="0"/>
              <w:jc w:val="center"/>
              <w:rPr>
                <w:sz w:val="21"/>
                <w:szCs w:val="21"/>
              </w:rPr>
            </w:pPr>
          </w:p>
        </w:tc>
        <w:tc>
          <w:tcPr>
            <w:tcW w:w="2131" w:type="dxa"/>
            <w:vMerge/>
            <w:shd w:val="clear" w:color="auto" w:fill="auto"/>
            <w:vAlign w:val="center"/>
          </w:tcPr>
          <w:p w:rsidR="00845831" w:rsidRDefault="00845831" w:rsidP="00B972E2">
            <w:pPr>
              <w:spacing w:before="156" w:after="156" w:line="240" w:lineRule="auto"/>
              <w:ind w:firstLineChars="0" w:firstLine="0"/>
              <w:jc w:val="center"/>
              <w:rPr>
                <w:sz w:val="21"/>
                <w:szCs w:val="21"/>
              </w:rPr>
            </w:pPr>
          </w:p>
        </w:tc>
        <w:tc>
          <w:tcPr>
            <w:tcW w:w="2131" w:type="dxa"/>
            <w:shd w:val="clear" w:color="auto" w:fill="auto"/>
            <w:vAlign w:val="center"/>
          </w:tcPr>
          <w:p w:rsidR="00845831" w:rsidRDefault="00297B50" w:rsidP="00B972E2">
            <w:pPr>
              <w:spacing w:before="156" w:after="156" w:line="240" w:lineRule="auto"/>
              <w:ind w:firstLineChars="0" w:firstLine="0"/>
              <w:jc w:val="center"/>
              <w:rPr>
                <w:sz w:val="21"/>
                <w:szCs w:val="21"/>
              </w:rPr>
            </w:pPr>
            <w:r>
              <w:rPr>
                <w:sz w:val="21"/>
                <w:szCs w:val="21"/>
              </w:rPr>
              <w:t>87</w:t>
            </w:r>
            <w:r>
              <w:rPr>
                <w:rFonts w:hint="eastAsia"/>
                <w:sz w:val="21"/>
                <w:szCs w:val="21"/>
              </w:rPr>
              <w:t>.8</w:t>
            </w:r>
          </w:p>
        </w:tc>
      </w:tr>
    </w:tbl>
    <w:p w:rsidR="00845831" w:rsidRDefault="00297B50">
      <w:pPr>
        <w:pStyle w:val="3"/>
        <w:spacing w:before="156" w:after="156"/>
      </w:pPr>
      <w:r>
        <w:rPr>
          <w:rFonts w:hint="eastAsia"/>
        </w:rPr>
        <w:t>1.2</w:t>
      </w:r>
      <w:r>
        <w:rPr>
          <w:rFonts w:hint="eastAsia"/>
        </w:rPr>
        <w:t>提取溶剂的选择</w:t>
      </w:r>
    </w:p>
    <w:p w:rsidR="00845831" w:rsidRDefault="00297B50">
      <w:pPr>
        <w:spacing w:before="156" w:after="156"/>
        <w:ind w:firstLine="480"/>
      </w:pPr>
      <w:r>
        <w:rPr>
          <w:rFonts w:hint="eastAsia"/>
          <w:color w:val="000000"/>
        </w:rPr>
        <w:t>参考相关文献及标准，实验分别选择</w:t>
      </w:r>
      <w:r>
        <w:rPr>
          <w:rFonts w:hint="eastAsia"/>
          <w:color w:val="000000"/>
        </w:rPr>
        <w:t>100%</w:t>
      </w:r>
      <w:r>
        <w:rPr>
          <w:rFonts w:hint="eastAsia"/>
          <w:color w:val="000000"/>
        </w:rPr>
        <w:t>甲醇、</w:t>
      </w:r>
      <w:r>
        <w:rPr>
          <w:rFonts w:hint="eastAsia"/>
          <w:color w:val="000000"/>
        </w:rPr>
        <w:t>90%</w:t>
      </w:r>
      <w:r>
        <w:rPr>
          <w:rFonts w:hint="eastAsia"/>
          <w:color w:val="000000"/>
        </w:rPr>
        <w:t>甲醇</w:t>
      </w:r>
      <w:r>
        <w:rPr>
          <w:rFonts w:hint="eastAsia"/>
          <w:color w:val="000000"/>
        </w:rPr>
        <w:t>-10%</w:t>
      </w:r>
      <w:r>
        <w:rPr>
          <w:rFonts w:hint="eastAsia"/>
          <w:color w:val="000000"/>
        </w:rPr>
        <w:t>水、</w:t>
      </w:r>
      <w:r>
        <w:rPr>
          <w:rFonts w:hint="eastAsia"/>
          <w:color w:val="000000"/>
        </w:rPr>
        <w:t>10%</w:t>
      </w:r>
      <w:r>
        <w:rPr>
          <w:rFonts w:hint="eastAsia"/>
          <w:color w:val="000000"/>
        </w:rPr>
        <w:t>甲醇</w:t>
      </w:r>
      <w:r>
        <w:rPr>
          <w:rFonts w:hint="eastAsia"/>
          <w:color w:val="000000"/>
        </w:rPr>
        <w:t>-90%</w:t>
      </w:r>
      <w:r>
        <w:rPr>
          <w:rFonts w:hint="eastAsia"/>
          <w:color w:val="000000"/>
        </w:rPr>
        <w:t>水、</w:t>
      </w:r>
      <w:r>
        <w:rPr>
          <w:rFonts w:hint="eastAsia"/>
          <w:color w:val="000000"/>
        </w:rPr>
        <w:t>10%</w:t>
      </w:r>
      <w:r>
        <w:rPr>
          <w:rFonts w:hint="eastAsia"/>
          <w:color w:val="000000"/>
        </w:rPr>
        <w:t>甲醇</w:t>
      </w:r>
      <w:r>
        <w:rPr>
          <w:rFonts w:hint="eastAsia"/>
          <w:color w:val="000000"/>
        </w:rPr>
        <w:t>-90%</w:t>
      </w:r>
      <w:r>
        <w:rPr>
          <w:rFonts w:hint="eastAsia"/>
          <w:color w:val="000000"/>
        </w:rPr>
        <w:t>甲酸溶液（含</w:t>
      </w:r>
      <w:r>
        <w:rPr>
          <w:rFonts w:hint="eastAsia"/>
          <w:color w:val="000000"/>
        </w:rPr>
        <w:t>0.1%</w:t>
      </w:r>
      <w:r>
        <w:rPr>
          <w:rFonts w:hint="eastAsia"/>
          <w:color w:val="000000"/>
        </w:rPr>
        <w:t>甲酸）、</w:t>
      </w:r>
      <w:r>
        <w:rPr>
          <w:rFonts w:hint="eastAsia"/>
          <w:color w:val="000000"/>
        </w:rPr>
        <w:t>10%</w:t>
      </w:r>
      <w:r>
        <w:rPr>
          <w:rFonts w:hint="eastAsia"/>
          <w:color w:val="000000"/>
        </w:rPr>
        <w:t>甲醇溶液（含</w:t>
      </w:r>
      <w:r>
        <w:rPr>
          <w:rFonts w:hint="eastAsia"/>
          <w:color w:val="000000"/>
        </w:rPr>
        <w:t>0.1%</w:t>
      </w:r>
      <w:r>
        <w:rPr>
          <w:rFonts w:hint="eastAsia"/>
          <w:color w:val="000000"/>
        </w:rPr>
        <w:t>甲酸）</w:t>
      </w:r>
      <w:r>
        <w:rPr>
          <w:rFonts w:hint="eastAsia"/>
          <w:color w:val="000000"/>
        </w:rPr>
        <w:t>-90%</w:t>
      </w:r>
      <w:r>
        <w:rPr>
          <w:rFonts w:hint="eastAsia"/>
          <w:color w:val="000000"/>
        </w:rPr>
        <w:t>甲酸溶液（含</w:t>
      </w:r>
      <w:r>
        <w:rPr>
          <w:rFonts w:hint="eastAsia"/>
          <w:color w:val="000000"/>
        </w:rPr>
        <w:t>0.1%</w:t>
      </w:r>
      <w:r>
        <w:rPr>
          <w:rFonts w:hint="eastAsia"/>
          <w:color w:val="000000"/>
        </w:rPr>
        <w:t>甲酸）</w:t>
      </w:r>
      <w:r>
        <w:rPr>
          <w:rFonts w:ascii="TimesNewRomanPSMT" w:hAnsi="TimesNewRomanPSMT"/>
          <w:color w:val="000000"/>
        </w:rPr>
        <w:t>为提取溶剂</w:t>
      </w:r>
      <w:r>
        <w:rPr>
          <w:rFonts w:hint="eastAsia"/>
          <w:color w:val="000000"/>
        </w:rPr>
        <w:t>，</w:t>
      </w:r>
      <w:r>
        <w:rPr>
          <w:rFonts w:ascii="TimesNewRomanPSMT" w:hAnsi="TimesNewRomanPSMT" w:hint="eastAsia"/>
          <w:color w:val="000000"/>
        </w:rPr>
        <w:t>3</w:t>
      </w:r>
      <w:r>
        <w:rPr>
          <w:rFonts w:ascii="TimesNewRomanPSMT" w:hAnsi="TimesNewRomanPSMT"/>
          <w:color w:val="000000"/>
        </w:rPr>
        <w:t>0</w:t>
      </w:r>
      <w:r>
        <w:rPr>
          <w:rFonts w:hint="eastAsia"/>
          <w:color w:val="000000"/>
        </w:rPr>
        <w:t>℃条件下超声</w:t>
      </w:r>
      <w:r>
        <w:rPr>
          <w:rFonts w:ascii="TimesNewRomanPSMT" w:hAnsi="TimesNewRomanPSMT"/>
          <w:color w:val="000000"/>
        </w:rPr>
        <w:t>30min</w:t>
      </w:r>
      <w:r>
        <w:rPr>
          <w:rFonts w:hint="eastAsia"/>
          <w:color w:val="000000"/>
        </w:rPr>
        <w:t>，研究不同溶剂对肥料样品中赤霉酸提取效果的影响。结果表明，溶剂对赤霉酸提取效果具有显著的影响，</w:t>
      </w:r>
      <w:r>
        <w:rPr>
          <w:rFonts w:ascii="TimesNewRomanPSMT" w:hAnsi="TimesNewRomanPSMT" w:hint="eastAsia"/>
          <w:color w:val="000000"/>
        </w:rPr>
        <w:t>五种</w:t>
      </w:r>
      <w:r>
        <w:rPr>
          <w:rFonts w:ascii="TimesNewRomanPSMT" w:hAnsi="TimesNewRomanPSMT"/>
          <w:color w:val="000000"/>
        </w:rPr>
        <w:t>提取剂</w:t>
      </w:r>
      <w:r>
        <w:rPr>
          <w:rFonts w:hint="eastAsia"/>
          <w:color w:val="000000"/>
        </w:rPr>
        <w:t>中赤霉酸加标回收率为</w:t>
      </w:r>
      <w:r>
        <w:rPr>
          <w:rFonts w:ascii="TimesNewRomanPSMT" w:hAnsi="TimesNewRomanPSMT" w:hint="eastAsia"/>
          <w:color w:val="000000"/>
        </w:rPr>
        <w:t>70%</w:t>
      </w:r>
      <w:r>
        <w:rPr>
          <w:rFonts w:ascii="TimesNewRomanPSMT" w:hAnsi="TimesNewRomanPSMT"/>
          <w:color w:val="000000"/>
        </w:rPr>
        <w:t>~</w:t>
      </w:r>
      <w:r>
        <w:rPr>
          <w:rFonts w:ascii="TimesNewRomanPSMT" w:hAnsi="TimesNewRomanPSMT" w:hint="eastAsia"/>
          <w:color w:val="000000"/>
        </w:rPr>
        <w:t>120</w:t>
      </w:r>
      <w:r>
        <w:rPr>
          <w:rFonts w:ascii="TimesNewRomanPSMT" w:hAnsi="TimesNewRomanPSMT"/>
          <w:color w:val="000000"/>
        </w:rPr>
        <w:t>%</w:t>
      </w:r>
      <w:r>
        <w:rPr>
          <w:rFonts w:ascii="TimesNewRomanPSMT" w:hAnsi="TimesNewRomanPSMT" w:hint="eastAsia"/>
          <w:color w:val="000000"/>
        </w:rPr>
        <w:t>之间</w:t>
      </w:r>
      <w:r>
        <w:rPr>
          <w:rFonts w:hint="eastAsia"/>
          <w:color w:val="000000"/>
        </w:rPr>
        <w:t>，其中，</w:t>
      </w:r>
      <w:r>
        <w:rPr>
          <w:rFonts w:hint="eastAsia"/>
          <w:color w:val="000000"/>
        </w:rPr>
        <w:t>10%</w:t>
      </w:r>
      <w:r>
        <w:rPr>
          <w:rFonts w:hint="eastAsia"/>
          <w:color w:val="000000"/>
        </w:rPr>
        <w:t>甲醇溶液（含</w:t>
      </w:r>
      <w:r>
        <w:rPr>
          <w:rFonts w:hint="eastAsia"/>
          <w:color w:val="000000"/>
        </w:rPr>
        <w:t>0.1%</w:t>
      </w:r>
      <w:r>
        <w:rPr>
          <w:rFonts w:hint="eastAsia"/>
          <w:color w:val="000000"/>
        </w:rPr>
        <w:t>甲酸）</w:t>
      </w:r>
      <w:r>
        <w:rPr>
          <w:rFonts w:hint="eastAsia"/>
          <w:color w:val="000000"/>
        </w:rPr>
        <w:t>-90%</w:t>
      </w:r>
      <w:r>
        <w:rPr>
          <w:rFonts w:hint="eastAsia"/>
          <w:color w:val="000000"/>
        </w:rPr>
        <w:t>甲酸溶液（含</w:t>
      </w:r>
      <w:r>
        <w:rPr>
          <w:rFonts w:hint="eastAsia"/>
          <w:color w:val="000000"/>
        </w:rPr>
        <w:t>0.1%</w:t>
      </w:r>
      <w:r>
        <w:rPr>
          <w:rFonts w:hint="eastAsia"/>
          <w:color w:val="000000"/>
        </w:rPr>
        <w:t>甲酸）对赤霉酸总提取效率优于其它溶剂，采用</w:t>
      </w:r>
      <w:r>
        <w:rPr>
          <w:rFonts w:hint="eastAsia"/>
          <w:color w:val="000000"/>
        </w:rPr>
        <w:t>100%</w:t>
      </w:r>
      <w:r>
        <w:rPr>
          <w:rFonts w:hint="eastAsia"/>
          <w:color w:val="000000"/>
        </w:rPr>
        <w:t>甲醇及</w:t>
      </w:r>
      <w:r>
        <w:rPr>
          <w:rFonts w:hint="eastAsia"/>
          <w:color w:val="000000"/>
        </w:rPr>
        <w:t>90%</w:t>
      </w:r>
      <w:r>
        <w:rPr>
          <w:rFonts w:hint="eastAsia"/>
          <w:color w:val="000000"/>
        </w:rPr>
        <w:t>甲醇</w:t>
      </w:r>
      <w:r>
        <w:rPr>
          <w:rFonts w:hint="eastAsia"/>
          <w:color w:val="000000"/>
        </w:rPr>
        <w:t>-10%</w:t>
      </w:r>
      <w:r>
        <w:rPr>
          <w:rFonts w:hint="eastAsia"/>
          <w:color w:val="000000"/>
        </w:rPr>
        <w:t>水为提取溶剂时，赤霉酸的峰形较差；采用</w:t>
      </w:r>
      <w:r>
        <w:rPr>
          <w:rFonts w:hint="eastAsia"/>
          <w:color w:val="000000"/>
        </w:rPr>
        <w:t>10%</w:t>
      </w:r>
      <w:r>
        <w:rPr>
          <w:rFonts w:hint="eastAsia"/>
          <w:color w:val="000000"/>
        </w:rPr>
        <w:t>甲醇</w:t>
      </w:r>
      <w:r>
        <w:rPr>
          <w:rFonts w:hint="eastAsia"/>
          <w:color w:val="000000"/>
        </w:rPr>
        <w:t>-90%</w:t>
      </w:r>
      <w:r>
        <w:rPr>
          <w:rFonts w:hint="eastAsia"/>
          <w:color w:val="000000"/>
        </w:rPr>
        <w:t>水为提取溶剂时，赤霉酸的峰有轻微拖尾现象，采用</w:t>
      </w:r>
      <w:r>
        <w:rPr>
          <w:rFonts w:hint="eastAsia"/>
          <w:color w:val="000000"/>
        </w:rPr>
        <w:t>10%</w:t>
      </w:r>
      <w:r>
        <w:rPr>
          <w:rFonts w:hint="eastAsia"/>
          <w:color w:val="000000"/>
        </w:rPr>
        <w:t>甲醇溶液（含</w:t>
      </w:r>
      <w:r>
        <w:rPr>
          <w:rFonts w:hint="eastAsia"/>
          <w:color w:val="000000"/>
        </w:rPr>
        <w:t>0.1%</w:t>
      </w:r>
      <w:r>
        <w:rPr>
          <w:rFonts w:hint="eastAsia"/>
          <w:color w:val="000000"/>
        </w:rPr>
        <w:t>甲酸）</w:t>
      </w:r>
      <w:r>
        <w:rPr>
          <w:rFonts w:hint="eastAsia"/>
          <w:color w:val="000000"/>
        </w:rPr>
        <w:t>-90%</w:t>
      </w:r>
      <w:r>
        <w:rPr>
          <w:rFonts w:hint="eastAsia"/>
          <w:color w:val="000000"/>
        </w:rPr>
        <w:t>甲酸溶液（含</w:t>
      </w:r>
      <w:r>
        <w:rPr>
          <w:rFonts w:hint="eastAsia"/>
          <w:color w:val="000000"/>
        </w:rPr>
        <w:t>0.1%</w:t>
      </w:r>
      <w:r>
        <w:rPr>
          <w:rFonts w:hint="eastAsia"/>
          <w:color w:val="000000"/>
        </w:rPr>
        <w:t>甲酸）为提取剂时，赤霉酸的峰形尖锐且样品的加标回收率较高，因此选择</w:t>
      </w:r>
      <w:r>
        <w:rPr>
          <w:rFonts w:hint="eastAsia"/>
          <w:color w:val="000000"/>
        </w:rPr>
        <w:t>10%</w:t>
      </w:r>
      <w:r>
        <w:rPr>
          <w:rFonts w:hint="eastAsia"/>
          <w:color w:val="000000"/>
        </w:rPr>
        <w:t>甲醇溶液（含</w:t>
      </w:r>
      <w:r>
        <w:rPr>
          <w:rFonts w:hint="eastAsia"/>
          <w:color w:val="000000"/>
        </w:rPr>
        <w:t>0.1%</w:t>
      </w:r>
      <w:r>
        <w:rPr>
          <w:rFonts w:hint="eastAsia"/>
          <w:color w:val="000000"/>
        </w:rPr>
        <w:t>甲酸）</w:t>
      </w:r>
      <w:r>
        <w:rPr>
          <w:rFonts w:hint="eastAsia"/>
          <w:color w:val="000000"/>
        </w:rPr>
        <w:t>-90%</w:t>
      </w:r>
      <w:r>
        <w:rPr>
          <w:rFonts w:hint="eastAsia"/>
          <w:color w:val="000000"/>
        </w:rPr>
        <w:t>甲酸溶液（含</w:t>
      </w:r>
      <w:r>
        <w:rPr>
          <w:rFonts w:hint="eastAsia"/>
          <w:color w:val="000000"/>
        </w:rPr>
        <w:t>0.1%</w:t>
      </w:r>
      <w:r>
        <w:rPr>
          <w:rFonts w:hint="eastAsia"/>
          <w:color w:val="000000"/>
        </w:rPr>
        <w:t>甲酸）为赤霉酸的提取溶剂。</w:t>
      </w:r>
    </w:p>
    <w:p w:rsidR="00845831" w:rsidRDefault="00297B50">
      <w:pPr>
        <w:pStyle w:val="3"/>
        <w:spacing w:before="156" w:after="156"/>
      </w:pPr>
      <w:r>
        <w:rPr>
          <w:rFonts w:hint="eastAsia"/>
        </w:rPr>
        <w:t>1.3</w:t>
      </w:r>
      <w:r>
        <w:t>超声时间的选择</w:t>
      </w:r>
    </w:p>
    <w:p w:rsidR="00845831" w:rsidRDefault="00297B50">
      <w:pPr>
        <w:spacing w:before="156" w:after="156"/>
        <w:ind w:firstLine="480"/>
      </w:pPr>
      <w:r>
        <w:rPr>
          <w:rFonts w:hint="eastAsia"/>
        </w:rPr>
        <w:t>设定超声仪的温度为</w:t>
      </w:r>
      <w:r>
        <w:rPr>
          <w:rFonts w:hint="eastAsia"/>
        </w:rPr>
        <w:t xml:space="preserve"> 30</w:t>
      </w:r>
      <w:r>
        <w:rPr>
          <w:rFonts w:hint="eastAsia"/>
        </w:rPr>
        <w:t>℃，超声时间分别设为</w:t>
      </w:r>
      <w:r>
        <w:rPr>
          <w:rFonts w:hint="eastAsia"/>
        </w:rPr>
        <w:t>10 min</w:t>
      </w:r>
      <w:r>
        <w:rPr>
          <w:rFonts w:hint="eastAsia"/>
        </w:rPr>
        <w:t>、</w:t>
      </w:r>
      <w:r>
        <w:rPr>
          <w:rFonts w:hint="eastAsia"/>
        </w:rPr>
        <w:t>20 min</w:t>
      </w:r>
      <w:r>
        <w:rPr>
          <w:rFonts w:hint="eastAsia"/>
        </w:rPr>
        <w:t>、</w:t>
      </w:r>
      <w:r>
        <w:rPr>
          <w:rFonts w:hint="eastAsia"/>
        </w:rPr>
        <w:t>30 min</w:t>
      </w:r>
      <w:r>
        <w:rPr>
          <w:rFonts w:hint="eastAsia"/>
        </w:rPr>
        <w:t>、</w:t>
      </w:r>
      <w:r>
        <w:rPr>
          <w:rFonts w:hint="eastAsia"/>
        </w:rPr>
        <w:t>60 min</w:t>
      </w:r>
      <w:r>
        <w:rPr>
          <w:rFonts w:hint="eastAsia"/>
        </w:rPr>
        <w:t>、</w:t>
      </w:r>
      <w:r>
        <w:rPr>
          <w:rFonts w:hint="eastAsia"/>
        </w:rPr>
        <w:t>120 min</w:t>
      </w:r>
      <w:r>
        <w:rPr>
          <w:rFonts w:hint="eastAsia"/>
        </w:rPr>
        <w:t>，研究不同的超声时间对肥料中赤霉酸提取效果的影响。超声时间从</w:t>
      </w:r>
      <w:r>
        <w:rPr>
          <w:rFonts w:hint="eastAsia"/>
        </w:rPr>
        <w:t>10 min</w:t>
      </w:r>
      <w:r>
        <w:rPr>
          <w:rFonts w:hint="eastAsia"/>
        </w:rPr>
        <w:t>增加至</w:t>
      </w:r>
      <w:r>
        <w:rPr>
          <w:rFonts w:hint="eastAsia"/>
        </w:rPr>
        <w:t>30 min</w:t>
      </w:r>
      <w:r>
        <w:rPr>
          <w:rFonts w:hint="eastAsia"/>
        </w:rPr>
        <w:t>的过程中，随着超声时间的增加，赤霉酸提取效果增加，但超过</w:t>
      </w:r>
      <w:r>
        <w:rPr>
          <w:rFonts w:hint="eastAsia"/>
        </w:rPr>
        <w:t>30 min</w:t>
      </w:r>
      <w:r>
        <w:rPr>
          <w:rFonts w:hint="eastAsia"/>
        </w:rPr>
        <w:t>后肥料中赤霉酸的提取效果未见提高，综合考虑时间成本和提取效率，选择超声时间为</w:t>
      </w:r>
      <w:r>
        <w:rPr>
          <w:rFonts w:hint="eastAsia"/>
        </w:rPr>
        <w:t>3</w:t>
      </w:r>
      <w:r>
        <w:t>0</w:t>
      </w:r>
      <w:r>
        <w:rPr>
          <w:rFonts w:hint="eastAsia"/>
        </w:rPr>
        <w:t xml:space="preserve"> </w:t>
      </w:r>
      <w:r>
        <w:t>min</w:t>
      </w:r>
      <w:r>
        <w:rPr>
          <w:rFonts w:hint="eastAsia"/>
        </w:rPr>
        <w:t>。</w:t>
      </w:r>
    </w:p>
    <w:p w:rsidR="00845831" w:rsidRDefault="00297B50">
      <w:pPr>
        <w:pStyle w:val="3"/>
        <w:spacing w:before="156" w:after="156"/>
      </w:pPr>
      <w:r>
        <w:rPr>
          <w:rFonts w:hint="eastAsia"/>
        </w:rPr>
        <w:lastRenderedPageBreak/>
        <w:t>1.4</w:t>
      </w:r>
      <w:r>
        <w:rPr>
          <w:rFonts w:hint="eastAsia"/>
        </w:rPr>
        <w:t>超声温度的选择</w:t>
      </w:r>
    </w:p>
    <w:p w:rsidR="00845831" w:rsidRPr="00410745" w:rsidRDefault="00297B50">
      <w:pPr>
        <w:spacing w:before="156" w:after="156"/>
        <w:ind w:firstLine="480"/>
        <w:rPr>
          <w:color w:val="FF0000"/>
        </w:rPr>
      </w:pPr>
      <w:r>
        <w:rPr>
          <w:rFonts w:hint="eastAsia"/>
          <w:color w:val="000000"/>
        </w:rPr>
        <w:t>设定超声仪的时间设为</w:t>
      </w:r>
      <w:r>
        <w:rPr>
          <w:rFonts w:hint="eastAsia"/>
          <w:color w:val="000000"/>
        </w:rPr>
        <w:t xml:space="preserve"> 30 min</w:t>
      </w:r>
      <w:r>
        <w:rPr>
          <w:rFonts w:hint="eastAsia"/>
          <w:color w:val="000000"/>
        </w:rPr>
        <w:t>，提取温度分别设为</w:t>
      </w:r>
      <w:r>
        <w:rPr>
          <w:rFonts w:hint="eastAsia"/>
          <w:color w:val="000000"/>
        </w:rPr>
        <w:t xml:space="preserve"> 25</w:t>
      </w:r>
      <w:r>
        <w:rPr>
          <w:rFonts w:hint="eastAsia"/>
          <w:color w:val="000000"/>
        </w:rPr>
        <w:t>℃、</w:t>
      </w:r>
      <w:r>
        <w:rPr>
          <w:rFonts w:hint="eastAsia"/>
          <w:color w:val="000000"/>
        </w:rPr>
        <w:t>30</w:t>
      </w:r>
      <w:r>
        <w:rPr>
          <w:rFonts w:hint="eastAsia"/>
          <w:color w:val="000000"/>
        </w:rPr>
        <w:t>℃、</w:t>
      </w:r>
      <w:r>
        <w:rPr>
          <w:rFonts w:hint="eastAsia"/>
          <w:color w:val="000000"/>
        </w:rPr>
        <w:t>40</w:t>
      </w:r>
      <w:r>
        <w:rPr>
          <w:rFonts w:hint="eastAsia"/>
          <w:color w:val="000000"/>
        </w:rPr>
        <w:t>℃、</w:t>
      </w:r>
      <w:r>
        <w:rPr>
          <w:rFonts w:hint="eastAsia"/>
          <w:color w:val="000000"/>
        </w:rPr>
        <w:t>50</w:t>
      </w:r>
      <w:r>
        <w:rPr>
          <w:rFonts w:hint="eastAsia"/>
          <w:color w:val="000000"/>
        </w:rPr>
        <w:t>℃、</w:t>
      </w:r>
      <w:r>
        <w:rPr>
          <w:rFonts w:hint="eastAsia"/>
          <w:color w:val="000000"/>
        </w:rPr>
        <w:t>60</w:t>
      </w:r>
      <w:r>
        <w:rPr>
          <w:rFonts w:hint="eastAsia"/>
          <w:color w:val="000000"/>
        </w:rPr>
        <w:t>℃，考察不同的超声温度对肥料中赤霉酸提取效果的影响。实验结果表明超声温度为</w:t>
      </w:r>
      <w:r>
        <w:rPr>
          <w:rFonts w:hint="eastAsia"/>
          <w:color w:val="000000"/>
        </w:rPr>
        <w:t>25</w:t>
      </w:r>
      <w:r>
        <w:rPr>
          <w:rFonts w:hint="eastAsia"/>
          <w:color w:val="000000"/>
        </w:rPr>
        <w:t>℃、</w:t>
      </w:r>
      <w:r>
        <w:rPr>
          <w:rFonts w:hint="eastAsia"/>
          <w:color w:val="000000"/>
        </w:rPr>
        <w:t>30</w:t>
      </w:r>
      <w:r>
        <w:rPr>
          <w:rFonts w:hint="eastAsia"/>
          <w:color w:val="000000"/>
        </w:rPr>
        <w:t>℃条件下时，提取效率在</w:t>
      </w:r>
      <w:r>
        <w:rPr>
          <w:rFonts w:hint="eastAsia"/>
          <w:color w:val="000000"/>
        </w:rPr>
        <w:t>90%</w:t>
      </w:r>
      <w:r>
        <w:rPr>
          <w:rFonts w:hint="eastAsia"/>
          <w:color w:val="000000"/>
        </w:rPr>
        <w:t>左右，随着超声温度继续升高，肥料中赤霉酸提取效率未见提高。当选择提取温度为</w:t>
      </w:r>
      <w:r w:rsidRPr="006110BF">
        <w:rPr>
          <w:color w:val="000000"/>
        </w:rPr>
        <w:t>50</w:t>
      </w:r>
      <w:r w:rsidRPr="006110BF">
        <w:rPr>
          <w:rFonts w:hint="eastAsia"/>
          <w:color w:val="000000"/>
        </w:rPr>
        <w:t>℃及</w:t>
      </w:r>
      <w:r>
        <w:rPr>
          <w:rFonts w:hint="eastAsia"/>
          <w:color w:val="000000"/>
        </w:rPr>
        <w:t>60</w:t>
      </w:r>
      <w:r>
        <w:rPr>
          <w:rFonts w:hint="eastAsia"/>
          <w:color w:val="000000"/>
        </w:rPr>
        <w:t>℃时，肥料中赤霉酸的提取效率反而下降。这可能是由于溶剂的挥发损失及赤霉酸高温条件下降解，造成回收率下降。因此考虑经济成本及提取效率</w:t>
      </w:r>
      <w:r w:rsidRPr="00410745">
        <w:rPr>
          <w:rFonts w:hint="eastAsia"/>
          <w:color w:val="FF0000"/>
        </w:rPr>
        <w:t>，选择</w:t>
      </w:r>
      <w:r w:rsidR="006110BF" w:rsidRPr="00410745">
        <w:rPr>
          <w:rFonts w:hint="eastAsia"/>
          <w:color w:val="FF0000"/>
        </w:rPr>
        <w:t>25</w:t>
      </w:r>
      <w:r w:rsidRPr="00410745">
        <w:rPr>
          <w:rFonts w:hint="eastAsia"/>
          <w:color w:val="FF0000"/>
        </w:rPr>
        <w:t>℃作为提取温度。</w:t>
      </w:r>
    </w:p>
    <w:p w:rsidR="00845831" w:rsidRDefault="00297B50">
      <w:pPr>
        <w:pStyle w:val="2"/>
        <w:spacing w:before="156" w:after="156"/>
      </w:pPr>
      <w:r>
        <w:rPr>
          <w:rFonts w:hint="eastAsia"/>
        </w:rPr>
        <w:t>2</w:t>
      </w:r>
      <w:r w:rsidR="001B407F">
        <w:rPr>
          <w:rFonts w:hint="eastAsia"/>
        </w:rPr>
        <w:t xml:space="preserve"> </w:t>
      </w:r>
      <w:r>
        <w:rPr>
          <w:rFonts w:hint="eastAsia"/>
        </w:rPr>
        <w:t>检测仪器的选择</w:t>
      </w:r>
    </w:p>
    <w:p w:rsidR="00845831" w:rsidRDefault="00297B50">
      <w:pPr>
        <w:spacing w:before="156" w:after="156"/>
        <w:ind w:firstLine="480"/>
      </w:pPr>
      <w:r>
        <w:rPr>
          <w:rFonts w:hint="eastAsia"/>
        </w:rPr>
        <w:t>本课题组查阅了大量文献，总结赤霉酸的检测技术发现，赤霉酸的残留检测多见于水果、蔬菜及大米等作物中，其检测手段通常采用气相色谱仪、液相色谱仪或液相色谱</w:t>
      </w:r>
      <w:r>
        <w:rPr>
          <w:rFonts w:hint="eastAsia"/>
        </w:rPr>
        <w:t>-</w:t>
      </w:r>
      <w:r>
        <w:rPr>
          <w:rFonts w:hint="eastAsia"/>
        </w:rPr>
        <w:t>串联质谱仪。赤霉酸属于极性化合物，难以气化，采用气相色谱分析时，通常衍生成易挥发物质，因而操作复杂，且方法回收率低。用甲醇</w:t>
      </w:r>
      <w:r>
        <w:rPr>
          <w:rFonts w:hint="eastAsia"/>
        </w:rPr>
        <w:t>-</w:t>
      </w:r>
      <w:r>
        <w:rPr>
          <w:rFonts w:hint="eastAsia"/>
        </w:rPr>
        <w:t>甲酸水为流动相利用液相色谱法可检测赤霉酸，但该方法</w:t>
      </w:r>
      <w:r>
        <w:t>分离效率差，</w:t>
      </w:r>
      <w:r>
        <w:rPr>
          <w:rFonts w:hint="eastAsia"/>
        </w:rPr>
        <w:t>峰</w:t>
      </w:r>
      <w:r>
        <w:t>出现拖尾现象</w:t>
      </w:r>
      <w:r>
        <w:rPr>
          <w:rFonts w:hint="eastAsia"/>
        </w:rPr>
        <w:t>。利用甲醇</w:t>
      </w:r>
      <w:r>
        <w:rPr>
          <w:rFonts w:hint="eastAsia"/>
        </w:rPr>
        <w:t>-</w:t>
      </w:r>
      <w:r>
        <w:rPr>
          <w:rFonts w:hint="eastAsia"/>
        </w:rPr>
        <w:t>磷酸盐溶液为作为流动相利用液相色谱法检测赤霉酸分离效果较好，但磷酸盐渗透力强，在相同条件下，使用磷酸盐后色谱柱的寿命会大大缩短。另外液相色谱仅仅依靠保留时间定性分析，基质容易造成干扰，造成定性或定量偏差。因此确定用高效液相色谱</w:t>
      </w:r>
      <w:r>
        <w:rPr>
          <w:rFonts w:hint="eastAsia"/>
        </w:rPr>
        <w:t>-</w:t>
      </w:r>
      <w:r>
        <w:rPr>
          <w:rFonts w:hint="eastAsia"/>
        </w:rPr>
        <w:t>串联质谱仪检测肥料中赤霉酸含量。首先，高效液相色谱</w:t>
      </w:r>
      <w:r>
        <w:rPr>
          <w:rFonts w:hint="eastAsia"/>
        </w:rPr>
        <w:t>-</w:t>
      </w:r>
      <w:r>
        <w:rPr>
          <w:rFonts w:hint="eastAsia"/>
        </w:rPr>
        <w:t>质谱联用定性分析结果可靠，可以同时给出组分的分子量和结构信息；其次，高效液相色谱</w:t>
      </w:r>
      <w:r>
        <w:rPr>
          <w:rFonts w:hint="eastAsia"/>
        </w:rPr>
        <w:t>-</w:t>
      </w:r>
      <w:r>
        <w:rPr>
          <w:rFonts w:hint="eastAsia"/>
        </w:rPr>
        <w:t>质谱联用检出限低，通过选择离子检测（</w:t>
      </w:r>
      <w:r>
        <w:rPr>
          <w:rFonts w:hint="eastAsia"/>
        </w:rPr>
        <w:t>SIM</w:t>
      </w:r>
      <w:r>
        <w:rPr>
          <w:rFonts w:hint="eastAsia"/>
        </w:rPr>
        <w:t>）方式，其检测能力相比液相色谱仪大大提高；再次，高效液相色谱</w:t>
      </w:r>
      <w:r>
        <w:rPr>
          <w:rFonts w:hint="eastAsia"/>
        </w:rPr>
        <w:t>-</w:t>
      </w:r>
      <w:r>
        <w:rPr>
          <w:rFonts w:hint="eastAsia"/>
        </w:rPr>
        <w:t>质谱联用分析时间快，</w:t>
      </w:r>
      <w:r>
        <w:rPr>
          <w:rFonts w:hint="eastAsia"/>
        </w:rPr>
        <w:t>HPLC-MS</w:t>
      </w:r>
      <w:r>
        <w:rPr>
          <w:rFonts w:hint="eastAsia"/>
        </w:rPr>
        <w:t>使用的色谱柱为窄径柱，缩短了分析时间，提高了分离效果。</w:t>
      </w:r>
    </w:p>
    <w:p w:rsidR="00845831" w:rsidRDefault="00297B50">
      <w:pPr>
        <w:pStyle w:val="2"/>
        <w:spacing w:before="156" w:after="156"/>
      </w:pPr>
      <w:r>
        <w:rPr>
          <w:rFonts w:hint="eastAsia"/>
        </w:rPr>
        <w:t>3</w:t>
      </w:r>
      <w:r w:rsidR="001B407F">
        <w:rPr>
          <w:rFonts w:hint="eastAsia"/>
        </w:rPr>
        <w:t xml:space="preserve"> </w:t>
      </w:r>
      <w:r>
        <w:rPr>
          <w:rFonts w:hint="eastAsia"/>
        </w:rPr>
        <w:t>色谱条件的选择</w:t>
      </w:r>
    </w:p>
    <w:p w:rsidR="00845831" w:rsidRDefault="00297B50">
      <w:pPr>
        <w:pStyle w:val="3"/>
        <w:spacing w:before="156" w:after="156"/>
      </w:pPr>
      <w:r>
        <w:rPr>
          <w:rFonts w:hint="eastAsia"/>
        </w:rPr>
        <w:t>3.1</w:t>
      </w:r>
      <w:r>
        <w:rPr>
          <w:rFonts w:hint="eastAsia"/>
        </w:rPr>
        <w:t>色谱柱的选择</w:t>
      </w:r>
    </w:p>
    <w:p w:rsidR="00845831" w:rsidRDefault="00297B50">
      <w:pPr>
        <w:spacing w:before="156" w:after="156"/>
        <w:ind w:firstLine="480"/>
      </w:pPr>
      <w:r>
        <w:rPr>
          <w:rFonts w:hint="eastAsia"/>
        </w:rPr>
        <w:t>实验选用</w:t>
      </w:r>
      <w:r>
        <w:rPr>
          <w:rFonts w:hint="eastAsia"/>
        </w:rPr>
        <w:t>Waters</w:t>
      </w:r>
      <w:r>
        <w:rPr>
          <w:rFonts w:hint="eastAsia"/>
        </w:rPr>
        <w:t>公司的</w:t>
      </w:r>
      <w:r>
        <w:rPr>
          <w:rFonts w:hint="eastAsia"/>
        </w:rPr>
        <w:t xml:space="preserve">ACQUITY UPLC BEH </w:t>
      </w:r>
      <w:r>
        <w:rPr>
          <w:rFonts w:hint="eastAsia"/>
        </w:rPr>
        <w:t>（桥式亚乙基杂化颗粒技术）</w:t>
      </w:r>
      <w:r>
        <w:rPr>
          <w:rFonts w:hint="eastAsia"/>
        </w:rPr>
        <w:t>C</w:t>
      </w:r>
      <w:r>
        <w:rPr>
          <w:rFonts w:hint="eastAsia"/>
          <w:vertAlign w:val="subscript"/>
        </w:rPr>
        <w:t>18</w:t>
      </w:r>
      <w:r>
        <w:rPr>
          <w:rFonts w:hint="eastAsia"/>
        </w:rPr>
        <w:t>色谱柱</w:t>
      </w:r>
      <w:r>
        <w:t>（</w:t>
      </w:r>
      <w:r>
        <w:t>2.1×50mm</w:t>
      </w:r>
      <w:r>
        <w:t>，</w:t>
      </w:r>
      <w:r>
        <w:t>1.7μm</w:t>
      </w:r>
      <w:r>
        <w:t>）</w:t>
      </w:r>
      <w:r>
        <w:rPr>
          <w:rFonts w:hint="eastAsia"/>
        </w:rPr>
        <w:t>，该色谱柱具有高柱效、宽</w:t>
      </w:r>
      <w:r>
        <w:rPr>
          <w:rFonts w:hint="eastAsia"/>
        </w:rPr>
        <w:t>pH</w:t>
      </w:r>
      <w:r>
        <w:rPr>
          <w:rFonts w:hint="eastAsia"/>
        </w:rPr>
        <w:t>应用范围（</w:t>
      </w:r>
      <w:r>
        <w:rPr>
          <w:rFonts w:hint="eastAsia"/>
        </w:rPr>
        <w:t>1</w:t>
      </w:r>
      <w:r>
        <w:rPr>
          <w:rFonts w:hint="eastAsia"/>
        </w:rPr>
        <w:t>～</w:t>
      </w:r>
      <w:r>
        <w:rPr>
          <w:rFonts w:hint="eastAsia"/>
        </w:rPr>
        <w:t>12</w:t>
      </w:r>
      <w:r>
        <w:rPr>
          <w:rFonts w:hint="eastAsia"/>
        </w:rPr>
        <w:t>）、稳定性好和使用寿命长的特点。</w:t>
      </w:r>
      <w:r>
        <w:rPr>
          <w:rFonts w:hint="eastAsia"/>
          <w:color w:val="000000"/>
        </w:rPr>
        <w:t>赤霉酸在酸性条件下带负电荷，具有阴离子交换特性。试验中选择</w:t>
      </w:r>
      <w:r>
        <w:rPr>
          <w:rFonts w:hint="eastAsia"/>
        </w:rPr>
        <w:t>C</w:t>
      </w:r>
      <w:r>
        <w:rPr>
          <w:rFonts w:hint="eastAsia"/>
          <w:vertAlign w:val="subscript"/>
        </w:rPr>
        <w:t>18</w:t>
      </w:r>
      <w:r>
        <w:rPr>
          <w:rFonts w:hint="eastAsia"/>
        </w:rPr>
        <w:t>色谱柱阴</w:t>
      </w:r>
      <w:r>
        <w:rPr>
          <w:rFonts w:cs="Calibri" w:hint="eastAsia"/>
          <w:color w:val="000000"/>
        </w:rPr>
        <w:t>离子分离柱，固定相为独特的亲脂性的弱</w:t>
      </w:r>
      <w:r>
        <w:rPr>
          <w:rFonts w:cs="Calibri" w:hint="eastAsia"/>
          <w:color w:val="000000"/>
        </w:rPr>
        <w:lastRenderedPageBreak/>
        <w:t>阴离离子交换基，在以</w:t>
      </w:r>
      <w:r>
        <w:rPr>
          <w:rFonts w:hint="eastAsia"/>
        </w:rPr>
        <w:t>甲醇（</w:t>
      </w:r>
      <w:r>
        <w:rPr>
          <w:rFonts w:hint="eastAsia"/>
        </w:rPr>
        <w:t>A</w:t>
      </w:r>
      <w:r>
        <w:rPr>
          <w:rFonts w:hint="eastAsia"/>
        </w:rPr>
        <w:t>）</w:t>
      </w:r>
      <w:r>
        <w:rPr>
          <w:rFonts w:hint="eastAsia"/>
        </w:rPr>
        <w:t>-0.1%</w:t>
      </w:r>
      <w:r>
        <w:rPr>
          <w:rFonts w:hint="eastAsia"/>
        </w:rPr>
        <w:t>甲酸水（</w:t>
      </w:r>
      <w:r>
        <w:rPr>
          <w:rFonts w:hint="eastAsia"/>
        </w:rPr>
        <w:t>B</w:t>
      </w:r>
      <w:r>
        <w:rPr>
          <w:rFonts w:hint="eastAsia"/>
        </w:rPr>
        <w:t>）</w:t>
      </w:r>
      <w:r>
        <w:rPr>
          <w:rFonts w:cs="Calibri" w:hint="eastAsia"/>
          <w:color w:val="000000"/>
        </w:rPr>
        <w:t>作为淋洗液时，赤霉酸可与其他干扰离子达到较好的分离效果。</w:t>
      </w:r>
    </w:p>
    <w:p w:rsidR="00845831" w:rsidRDefault="00297B50">
      <w:pPr>
        <w:pStyle w:val="3"/>
        <w:spacing w:before="156" w:after="156"/>
      </w:pPr>
      <w:r>
        <w:rPr>
          <w:rFonts w:hint="eastAsia"/>
        </w:rPr>
        <w:t>3</w:t>
      </w:r>
      <w:r>
        <w:t>.</w:t>
      </w:r>
      <w:r>
        <w:rPr>
          <w:rFonts w:hint="eastAsia"/>
        </w:rPr>
        <w:t>2</w:t>
      </w:r>
      <w:r>
        <w:rPr>
          <w:rFonts w:hint="eastAsia"/>
        </w:rPr>
        <w:t>流动相的选择</w:t>
      </w:r>
    </w:p>
    <w:p w:rsidR="00845831" w:rsidRDefault="00297B50">
      <w:pPr>
        <w:spacing w:before="156" w:after="156"/>
        <w:ind w:firstLine="480"/>
      </w:pPr>
      <w:r>
        <w:rPr>
          <w:rFonts w:hint="eastAsia"/>
        </w:rPr>
        <w:t>赤霉酸分子中弱极性的碳环被极性的羟基</w:t>
      </w:r>
      <w:r>
        <w:rPr>
          <w:rFonts w:ascii="FSJ0+ZLWKMn-4" w:hAnsi="FSJ0+ZLWKMn-4"/>
        </w:rPr>
        <w:t>、</w:t>
      </w:r>
      <w:r>
        <w:rPr>
          <w:rFonts w:hint="eastAsia"/>
        </w:rPr>
        <w:t>羧基和酯基包围，在</w:t>
      </w:r>
      <w:r>
        <w:rPr>
          <w:rFonts w:ascii="E-BZ+ZLWKMm-1" w:hAnsi="E-BZ+ZLWKMm-1"/>
        </w:rPr>
        <w:t>C</w:t>
      </w:r>
      <w:r>
        <w:rPr>
          <w:rFonts w:ascii="E-BZ+ZLWKMm-1" w:hAnsi="E-BZ+ZLWKMm-1"/>
          <w:sz w:val="12"/>
          <w:szCs w:val="12"/>
        </w:rPr>
        <w:t xml:space="preserve">18 </w:t>
      </w:r>
      <w:r>
        <w:rPr>
          <w:rFonts w:hint="eastAsia"/>
        </w:rPr>
        <w:t>柱上保留差，在甲醇比例大于</w:t>
      </w:r>
      <w:r>
        <w:rPr>
          <w:rFonts w:ascii="E-BZ+ZLWKMm-1" w:hAnsi="E-BZ+ZLWKMm-1"/>
        </w:rPr>
        <w:t xml:space="preserve">30% </w:t>
      </w:r>
      <w:r>
        <w:rPr>
          <w:rFonts w:hint="eastAsia"/>
        </w:rPr>
        <w:t>时几乎无保留</w:t>
      </w:r>
      <w:r>
        <w:rPr>
          <w:rFonts w:ascii="FSJ0+ZLWKMn-4" w:hAnsi="FSJ0+ZLWKMn-4"/>
        </w:rPr>
        <w:t>。</w:t>
      </w:r>
      <w:r>
        <w:rPr>
          <w:rFonts w:hint="eastAsia"/>
        </w:rPr>
        <w:t>因此，需使用较小比例的甲醇流动相，并加入适当的酸抑制羧基的电离以增强其在</w:t>
      </w:r>
      <w:r>
        <w:rPr>
          <w:rFonts w:ascii="E-BZ+ZLWKMm-1" w:hAnsi="E-BZ+ZLWKMm-1"/>
        </w:rPr>
        <w:t>C</w:t>
      </w:r>
      <w:r>
        <w:rPr>
          <w:rFonts w:ascii="E-BZ+ZLWKMm-1" w:hAnsi="E-BZ+ZLWKMm-1"/>
          <w:sz w:val="12"/>
          <w:szCs w:val="12"/>
        </w:rPr>
        <w:t xml:space="preserve">18 </w:t>
      </w:r>
      <w:r>
        <w:rPr>
          <w:rFonts w:hint="eastAsia"/>
        </w:rPr>
        <w:t>柱上的保留</w:t>
      </w:r>
      <w:r>
        <w:rPr>
          <w:rFonts w:ascii="FSJ0+ZLWKMn-4" w:hAnsi="FSJ0+ZLWKMn-4"/>
        </w:rPr>
        <w:t>。</w:t>
      </w:r>
      <w:r>
        <w:rPr>
          <w:rFonts w:hint="eastAsia"/>
        </w:rPr>
        <w:t>本标准中赤霉酸的色谱分离通选择</w:t>
      </w:r>
      <w:r>
        <w:rPr>
          <w:rFonts w:hint="eastAsia"/>
        </w:rPr>
        <w:t>0.1%</w:t>
      </w:r>
      <w:r>
        <w:rPr>
          <w:rFonts w:hint="eastAsia"/>
        </w:rPr>
        <w:t>甲酸</w:t>
      </w:r>
      <w:r>
        <w:rPr>
          <w:rFonts w:hint="eastAsia"/>
        </w:rPr>
        <w:t>-</w:t>
      </w:r>
      <w:r>
        <w:rPr>
          <w:rFonts w:hint="eastAsia"/>
        </w:rPr>
        <w:t>甲醇溶液（</w:t>
      </w:r>
      <w:r>
        <w:rPr>
          <w:rFonts w:hint="eastAsia"/>
        </w:rPr>
        <w:t>A</w:t>
      </w:r>
      <w:r>
        <w:rPr>
          <w:rFonts w:hint="eastAsia"/>
        </w:rPr>
        <w:t>）</w:t>
      </w:r>
      <w:r>
        <w:rPr>
          <w:rFonts w:hint="eastAsia"/>
        </w:rPr>
        <w:t>-0.1%</w:t>
      </w:r>
      <w:r>
        <w:rPr>
          <w:rFonts w:hint="eastAsia"/>
        </w:rPr>
        <w:t>甲酸溶液（</w:t>
      </w:r>
      <w:r>
        <w:rPr>
          <w:rFonts w:hint="eastAsia"/>
        </w:rPr>
        <w:t>B</w:t>
      </w:r>
      <w:r>
        <w:rPr>
          <w:rFonts w:hint="eastAsia"/>
        </w:rPr>
        <w:t>）作为流动相，为优化分离效果和缩短分析时间，本实验选用了梯度洗脱的方式（梯度洗脱条件见表</w:t>
      </w:r>
      <w:r>
        <w:rPr>
          <w:rFonts w:hint="eastAsia"/>
        </w:rPr>
        <w:t>2</w:t>
      </w:r>
      <w:r>
        <w:rPr>
          <w:rFonts w:hint="eastAsia"/>
        </w:rPr>
        <w:t>）：</w:t>
      </w:r>
      <w:r>
        <w:t>0~</w:t>
      </w:r>
      <w:r>
        <w:rPr>
          <w:rFonts w:hint="eastAsia"/>
        </w:rPr>
        <w:t xml:space="preserve"> 1.5</w:t>
      </w:r>
      <w:r>
        <w:t xml:space="preserve"> min</w:t>
      </w:r>
      <w:r>
        <w:t>，</w:t>
      </w:r>
      <w:r>
        <w:rPr>
          <w:rFonts w:hint="eastAsia"/>
        </w:rPr>
        <w:t>10</w:t>
      </w:r>
      <w:r>
        <w:t>% A</w:t>
      </w:r>
      <w:r>
        <w:t>；</w:t>
      </w:r>
      <w:r>
        <w:rPr>
          <w:rFonts w:hint="eastAsia"/>
        </w:rPr>
        <w:t>1.5</w:t>
      </w:r>
      <w:r>
        <w:t>~3.0 min</w:t>
      </w:r>
      <w:r>
        <w:t>，</w:t>
      </w:r>
      <w:r>
        <w:rPr>
          <w:rFonts w:hint="eastAsia"/>
        </w:rPr>
        <w:t>10</w:t>
      </w:r>
      <w:r>
        <w:t>%~</w:t>
      </w:r>
      <w:r>
        <w:rPr>
          <w:rFonts w:hint="eastAsia"/>
        </w:rPr>
        <w:t xml:space="preserve"> 60</w:t>
      </w:r>
      <w:r>
        <w:t>% A</w:t>
      </w:r>
      <w:r>
        <w:t>；</w:t>
      </w:r>
      <w:r>
        <w:t>3.0~</w:t>
      </w:r>
      <w:r>
        <w:rPr>
          <w:rFonts w:hint="eastAsia"/>
        </w:rPr>
        <w:t>7.5</w:t>
      </w:r>
      <w:r>
        <w:t xml:space="preserve"> min</w:t>
      </w:r>
      <w:r>
        <w:t>，</w:t>
      </w:r>
      <w:r>
        <w:rPr>
          <w:rFonts w:hint="eastAsia"/>
        </w:rPr>
        <w:t>60</w:t>
      </w:r>
      <w:r>
        <w:t>%~</w:t>
      </w:r>
      <w:r>
        <w:rPr>
          <w:rFonts w:hint="eastAsia"/>
        </w:rPr>
        <w:t>9</w:t>
      </w:r>
      <w:r>
        <w:t>0% A</w:t>
      </w:r>
      <w:r>
        <w:t>；</w:t>
      </w:r>
      <w:r>
        <w:rPr>
          <w:rFonts w:hint="eastAsia"/>
        </w:rPr>
        <w:t>7.5</w:t>
      </w:r>
      <w:r>
        <w:t>~</w:t>
      </w:r>
      <w:r>
        <w:rPr>
          <w:rFonts w:hint="eastAsia"/>
        </w:rPr>
        <w:t>9.0</w:t>
      </w:r>
      <w:r>
        <w:t xml:space="preserve"> min</w:t>
      </w:r>
      <w:r>
        <w:t>，</w:t>
      </w:r>
      <w:r>
        <w:rPr>
          <w:rFonts w:hint="eastAsia"/>
        </w:rPr>
        <w:t>9</w:t>
      </w:r>
      <w:r>
        <w:t>0%~</w:t>
      </w:r>
      <w:r>
        <w:rPr>
          <w:rFonts w:hint="eastAsia"/>
        </w:rPr>
        <w:t xml:space="preserve"> 1</w:t>
      </w:r>
      <w:r>
        <w:t>0% A</w:t>
      </w:r>
      <w:r>
        <w:t>；</w:t>
      </w:r>
      <w:r>
        <w:rPr>
          <w:rFonts w:hint="eastAsia"/>
        </w:rPr>
        <w:t>9.0</w:t>
      </w:r>
      <w:r>
        <w:t>~</w:t>
      </w:r>
      <w:r>
        <w:rPr>
          <w:rFonts w:hint="eastAsia"/>
        </w:rPr>
        <w:t xml:space="preserve"> 12.0</w:t>
      </w:r>
      <w:r>
        <w:t xml:space="preserve"> min</w:t>
      </w:r>
      <w:r>
        <w:t>，</w:t>
      </w:r>
      <w:r>
        <w:rPr>
          <w:rFonts w:hint="eastAsia"/>
        </w:rPr>
        <w:t>10%</w:t>
      </w:r>
      <w:r>
        <w:t>A</w:t>
      </w:r>
      <w:r>
        <w:t>。流速</w:t>
      </w:r>
      <w:r>
        <w:rPr>
          <w:rFonts w:hint="eastAsia"/>
        </w:rPr>
        <w:t>0.3</w:t>
      </w:r>
      <w:r>
        <w:t xml:space="preserve"> mL/min</w:t>
      </w:r>
      <w:r>
        <w:t>；柱温</w:t>
      </w:r>
      <w:r>
        <w:rPr>
          <w:rFonts w:hint="eastAsia"/>
        </w:rPr>
        <w:t>30</w:t>
      </w:r>
      <w:r>
        <w:t>°C</w:t>
      </w:r>
      <w:r>
        <w:rPr>
          <w:rFonts w:hint="eastAsia"/>
        </w:rPr>
        <w:t>；样品室温度</w:t>
      </w:r>
      <w:r>
        <w:rPr>
          <w:rFonts w:hint="eastAsia"/>
        </w:rPr>
        <w:t>15</w:t>
      </w:r>
      <w:r>
        <w:t xml:space="preserve"> °C</w:t>
      </w:r>
      <w:r>
        <w:rPr>
          <w:rFonts w:hint="eastAsia"/>
        </w:rPr>
        <w:t>，</w:t>
      </w:r>
      <w:r>
        <w:t>进样量</w:t>
      </w:r>
      <w:r>
        <w:rPr>
          <w:rFonts w:hint="eastAsia"/>
        </w:rPr>
        <w:t xml:space="preserve">5 </w:t>
      </w:r>
      <w:r>
        <w:t>μL</w:t>
      </w:r>
      <w:r>
        <w:rPr>
          <w:rFonts w:hint="eastAsia"/>
        </w:rPr>
        <w:t>。实验比较了不同进样量对色谱峰及其灵敏度的影响。当进样量分别为</w:t>
      </w:r>
      <w:r>
        <w:rPr>
          <w:rFonts w:hint="eastAsia"/>
        </w:rPr>
        <w:t xml:space="preserve">1 </w:t>
      </w:r>
      <w:r>
        <w:t>μL</w:t>
      </w:r>
      <w:r>
        <w:rPr>
          <w:rFonts w:hint="eastAsia"/>
        </w:rPr>
        <w:t>、</w:t>
      </w:r>
      <w:r>
        <w:rPr>
          <w:rFonts w:hint="eastAsia"/>
        </w:rPr>
        <w:t xml:space="preserve">2 </w:t>
      </w:r>
      <w:r>
        <w:t>μL</w:t>
      </w:r>
      <w:r>
        <w:rPr>
          <w:rFonts w:hint="eastAsia"/>
        </w:rPr>
        <w:t>、</w:t>
      </w:r>
      <w:r>
        <w:rPr>
          <w:rFonts w:hint="eastAsia"/>
        </w:rPr>
        <w:t xml:space="preserve">5 </w:t>
      </w:r>
      <w:r>
        <w:t>μL</w:t>
      </w:r>
      <w:r>
        <w:rPr>
          <w:rFonts w:hint="eastAsia"/>
        </w:rPr>
        <w:t>时，赤霉酸响应值与进样量呈线性关系；但当进样量大于</w:t>
      </w:r>
      <w:r>
        <w:rPr>
          <w:rFonts w:hint="eastAsia"/>
        </w:rPr>
        <w:t xml:space="preserve">5 </w:t>
      </w:r>
      <w:r>
        <w:t>μ</w:t>
      </w:r>
      <w:r>
        <w:rPr>
          <w:rFonts w:hint="eastAsia"/>
        </w:rPr>
        <w:t>L</w:t>
      </w:r>
      <w:r>
        <w:rPr>
          <w:rFonts w:hint="eastAsia"/>
        </w:rPr>
        <w:t>时，赤霉酸色谱峰峰宽严重展宽，且呈分叉，因此本标准选择赤霉酸样品的进样量选择为</w:t>
      </w:r>
      <w:r>
        <w:rPr>
          <w:rFonts w:hint="eastAsia"/>
        </w:rPr>
        <w:t xml:space="preserve">5 </w:t>
      </w:r>
      <w:r>
        <w:t>μL</w:t>
      </w:r>
      <w:r>
        <w:rPr>
          <w:rFonts w:hint="eastAsia"/>
        </w:rPr>
        <w:t>。</w:t>
      </w:r>
    </w:p>
    <w:p w:rsidR="00845831" w:rsidRDefault="00297B50" w:rsidP="00522015">
      <w:pPr>
        <w:pStyle w:val="af7"/>
        <w:spacing w:beforeLines="10" w:before="31" w:line="360" w:lineRule="auto"/>
        <w:ind w:firstLine="480"/>
        <w:jc w:val="center"/>
        <w:rPr>
          <w:rFonts w:ascii="仿宋" w:eastAsia="仿宋" w:hAnsi="仿宋" w:cs="仿宋"/>
        </w:rPr>
      </w:pPr>
      <w:r w:rsidRPr="00522015">
        <w:rPr>
          <w:rFonts w:ascii="Times New Roman" w:eastAsia="仿宋" w:hint="eastAsia"/>
          <w:kern w:val="2"/>
          <w:sz w:val="24"/>
          <w:szCs w:val="24"/>
        </w:rPr>
        <w:t>表</w:t>
      </w:r>
      <w:r w:rsidRPr="00522015">
        <w:rPr>
          <w:rFonts w:ascii="Times New Roman" w:eastAsia="仿宋" w:hint="eastAsia"/>
          <w:kern w:val="2"/>
          <w:sz w:val="24"/>
          <w:szCs w:val="24"/>
        </w:rPr>
        <w:t xml:space="preserve">2 </w:t>
      </w:r>
      <w:r w:rsidRPr="00522015">
        <w:rPr>
          <w:rFonts w:ascii="Times New Roman" w:eastAsia="仿宋" w:hint="eastAsia"/>
          <w:kern w:val="2"/>
          <w:sz w:val="24"/>
          <w:szCs w:val="24"/>
        </w:rPr>
        <w:t>液相</w:t>
      </w:r>
      <w:r>
        <w:rPr>
          <w:rFonts w:ascii="仿宋" w:eastAsia="仿宋" w:hAnsi="仿宋" w:cs="仿宋" w:hint="eastAsia"/>
        </w:rPr>
        <w:t>色谱梯度洗脱条件</w:t>
      </w:r>
    </w:p>
    <w:tbl>
      <w:tblPr>
        <w:tblW w:w="79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3"/>
        <w:gridCol w:w="2782"/>
        <w:gridCol w:w="2783"/>
      </w:tblGrid>
      <w:tr w:rsidR="00845831" w:rsidTr="00B972E2">
        <w:trPr>
          <w:trHeight w:hRule="exact" w:val="567"/>
          <w:jc w:val="center"/>
        </w:trPr>
        <w:tc>
          <w:tcPr>
            <w:tcW w:w="2373" w:type="dxa"/>
            <w:vAlign w:val="center"/>
          </w:tcPr>
          <w:p w:rsidR="00845831" w:rsidRDefault="00297B50" w:rsidP="00B972E2">
            <w:pPr>
              <w:spacing w:before="156" w:after="156" w:line="240" w:lineRule="auto"/>
              <w:ind w:firstLineChars="0" w:firstLine="0"/>
              <w:jc w:val="center"/>
              <w:rPr>
                <w:sz w:val="21"/>
                <w:szCs w:val="21"/>
              </w:rPr>
            </w:pPr>
            <w:r>
              <w:rPr>
                <w:sz w:val="21"/>
                <w:szCs w:val="21"/>
              </w:rPr>
              <w:t>时间</w:t>
            </w:r>
            <w:r>
              <w:rPr>
                <w:sz w:val="21"/>
                <w:szCs w:val="21"/>
              </w:rPr>
              <w:t>/min</w:t>
            </w:r>
          </w:p>
        </w:tc>
        <w:tc>
          <w:tcPr>
            <w:tcW w:w="2782" w:type="dxa"/>
            <w:vAlign w:val="center"/>
          </w:tcPr>
          <w:p w:rsidR="00845831" w:rsidRDefault="00297B50" w:rsidP="00B972E2">
            <w:pPr>
              <w:spacing w:before="156" w:after="156" w:line="240" w:lineRule="auto"/>
              <w:ind w:firstLineChars="0" w:firstLine="0"/>
              <w:jc w:val="center"/>
              <w:rPr>
                <w:sz w:val="21"/>
                <w:szCs w:val="21"/>
              </w:rPr>
            </w:pPr>
            <w:r>
              <w:rPr>
                <w:sz w:val="21"/>
                <w:szCs w:val="21"/>
              </w:rPr>
              <w:t>流动相</w:t>
            </w:r>
            <w:r>
              <w:rPr>
                <w:sz w:val="21"/>
                <w:szCs w:val="21"/>
              </w:rPr>
              <w:t>A</w:t>
            </w:r>
            <w:r>
              <w:rPr>
                <w:sz w:val="21"/>
                <w:szCs w:val="21"/>
              </w:rPr>
              <w:t>含量</w:t>
            </w:r>
            <w:r>
              <w:rPr>
                <w:sz w:val="21"/>
                <w:szCs w:val="21"/>
              </w:rPr>
              <w:t>/%</w:t>
            </w:r>
          </w:p>
        </w:tc>
        <w:tc>
          <w:tcPr>
            <w:tcW w:w="2783" w:type="dxa"/>
            <w:vAlign w:val="center"/>
          </w:tcPr>
          <w:p w:rsidR="00845831" w:rsidRDefault="00297B50" w:rsidP="00B972E2">
            <w:pPr>
              <w:spacing w:before="156" w:after="156" w:line="240" w:lineRule="auto"/>
              <w:ind w:firstLineChars="0" w:firstLine="0"/>
              <w:jc w:val="center"/>
              <w:rPr>
                <w:sz w:val="21"/>
                <w:szCs w:val="21"/>
              </w:rPr>
            </w:pPr>
            <w:r>
              <w:rPr>
                <w:sz w:val="21"/>
                <w:szCs w:val="21"/>
              </w:rPr>
              <w:t>流动相</w:t>
            </w:r>
            <w:r>
              <w:rPr>
                <w:sz w:val="21"/>
                <w:szCs w:val="21"/>
              </w:rPr>
              <w:t>B</w:t>
            </w:r>
            <w:r>
              <w:rPr>
                <w:sz w:val="21"/>
                <w:szCs w:val="21"/>
              </w:rPr>
              <w:t>含量</w:t>
            </w:r>
            <w:r>
              <w:rPr>
                <w:sz w:val="21"/>
                <w:szCs w:val="21"/>
              </w:rPr>
              <w:t>/%</w:t>
            </w:r>
          </w:p>
        </w:tc>
      </w:tr>
      <w:tr w:rsidR="00845831" w:rsidTr="00B972E2">
        <w:trPr>
          <w:trHeight w:hRule="exact" w:val="567"/>
          <w:jc w:val="center"/>
        </w:trPr>
        <w:tc>
          <w:tcPr>
            <w:tcW w:w="2373" w:type="dxa"/>
            <w:vAlign w:val="center"/>
          </w:tcPr>
          <w:p w:rsidR="00845831" w:rsidRDefault="00297B50" w:rsidP="00B972E2">
            <w:pPr>
              <w:spacing w:before="156" w:after="156" w:line="240" w:lineRule="auto"/>
              <w:ind w:firstLineChars="0" w:firstLine="0"/>
              <w:jc w:val="center"/>
              <w:rPr>
                <w:sz w:val="21"/>
                <w:szCs w:val="21"/>
              </w:rPr>
            </w:pPr>
            <w:r>
              <w:rPr>
                <w:sz w:val="21"/>
                <w:szCs w:val="21"/>
              </w:rPr>
              <w:t>0</w:t>
            </w:r>
          </w:p>
        </w:tc>
        <w:tc>
          <w:tcPr>
            <w:tcW w:w="2782" w:type="dxa"/>
            <w:vAlign w:val="center"/>
          </w:tcPr>
          <w:p w:rsidR="00845831" w:rsidRDefault="00297B50" w:rsidP="00B972E2">
            <w:pPr>
              <w:spacing w:before="156" w:after="156" w:line="240" w:lineRule="auto"/>
              <w:ind w:firstLineChars="0" w:firstLine="0"/>
              <w:jc w:val="center"/>
              <w:rPr>
                <w:sz w:val="21"/>
                <w:szCs w:val="21"/>
              </w:rPr>
            </w:pPr>
            <w:r>
              <w:rPr>
                <w:sz w:val="21"/>
                <w:szCs w:val="21"/>
              </w:rPr>
              <w:t>10</w:t>
            </w:r>
          </w:p>
        </w:tc>
        <w:tc>
          <w:tcPr>
            <w:tcW w:w="2783" w:type="dxa"/>
            <w:vAlign w:val="center"/>
          </w:tcPr>
          <w:p w:rsidR="00845831" w:rsidRDefault="00297B50" w:rsidP="00B972E2">
            <w:pPr>
              <w:spacing w:before="156" w:after="156" w:line="240" w:lineRule="auto"/>
              <w:ind w:firstLineChars="0" w:firstLine="0"/>
              <w:jc w:val="center"/>
              <w:rPr>
                <w:sz w:val="21"/>
                <w:szCs w:val="21"/>
              </w:rPr>
            </w:pPr>
            <w:r>
              <w:rPr>
                <w:sz w:val="21"/>
                <w:szCs w:val="21"/>
              </w:rPr>
              <w:t>90</w:t>
            </w:r>
          </w:p>
        </w:tc>
      </w:tr>
      <w:tr w:rsidR="00845831" w:rsidTr="00B972E2">
        <w:trPr>
          <w:trHeight w:hRule="exact" w:val="567"/>
          <w:jc w:val="center"/>
        </w:trPr>
        <w:tc>
          <w:tcPr>
            <w:tcW w:w="2373" w:type="dxa"/>
            <w:vAlign w:val="center"/>
          </w:tcPr>
          <w:p w:rsidR="00845831" w:rsidRDefault="00297B50" w:rsidP="00B972E2">
            <w:pPr>
              <w:spacing w:before="156" w:after="156" w:line="240" w:lineRule="auto"/>
              <w:ind w:firstLineChars="0" w:firstLine="0"/>
              <w:jc w:val="center"/>
              <w:rPr>
                <w:sz w:val="21"/>
                <w:szCs w:val="21"/>
              </w:rPr>
            </w:pPr>
            <w:r>
              <w:rPr>
                <w:sz w:val="21"/>
                <w:szCs w:val="21"/>
              </w:rPr>
              <w:t>1.5</w:t>
            </w:r>
          </w:p>
        </w:tc>
        <w:tc>
          <w:tcPr>
            <w:tcW w:w="2782" w:type="dxa"/>
            <w:vAlign w:val="center"/>
          </w:tcPr>
          <w:p w:rsidR="00845831" w:rsidRDefault="00297B50" w:rsidP="00B972E2">
            <w:pPr>
              <w:spacing w:before="156" w:after="156" w:line="240" w:lineRule="auto"/>
              <w:ind w:firstLineChars="0" w:firstLine="0"/>
              <w:jc w:val="center"/>
              <w:rPr>
                <w:sz w:val="21"/>
                <w:szCs w:val="21"/>
              </w:rPr>
            </w:pPr>
            <w:r>
              <w:rPr>
                <w:sz w:val="21"/>
                <w:szCs w:val="21"/>
              </w:rPr>
              <w:t>10</w:t>
            </w:r>
          </w:p>
        </w:tc>
        <w:tc>
          <w:tcPr>
            <w:tcW w:w="2783" w:type="dxa"/>
            <w:vAlign w:val="center"/>
          </w:tcPr>
          <w:p w:rsidR="00845831" w:rsidRDefault="00297B50" w:rsidP="00B972E2">
            <w:pPr>
              <w:spacing w:before="156" w:after="156" w:line="240" w:lineRule="auto"/>
              <w:ind w:firstLineChars="0" w:firstLine="0"/>
              <w:jc w:val="center"/>
              <w:rPr>
                <w:sz w:val="21"/>
                <w:szCs w:val="21"/>
              </w:rPr>
            </w:pPr>
            <w:r>
              <w:rPr>
                <w:sz w:val="21"/>
                <w:szCs w:val="21"/>
              </w:rPr>
              <w:t>90</w:t>
            </w:r>
          </w:p>
        </w:tc>
      </w:tr>
      <w:tr w:rsidR="00845831" w:rsidTr="00B972E2">
        <w:trPr>
          <w:trHeight w:hRule="exact" w:val="567"/>
          <w:jc w:val="center"/>
        </w:trPr>
        <w:tc>
          <w:tcPr>
            <w:tcW w:w="2373" w:type="dxa"/>
            <w:vAlign w:val="center"/>
          </w:tcPr>
          <w:p w:rsidR="00845831" w:rsidRDefault="00297B50" w:rsidP="00B972E2">
            <w:pPr>
              <w:spacing w:before="156" w:after="156" w:line="240" w:lineRule="auto"/>
              <w:ind w:firstLineChars="0" w:firstLine="0"/>
              <w:jc w:val="center"/>
              <w:rPr>
                <w:sz w:val="21"/>
                <w:szCs w:val="21"/>
              </w:rPr>
            </w:pPr>
            <w:r>
              <w:rPr>
                <w:sz w:val="21"/>
                <w:szCs w:val="21"/>
              </w:rPr>
              <w:t>3.0</w:t>
            </w:r>
          </w:p>
        </w:tc>
        <w:tc>
          <w:tcPr>
            <w:tcW w:w="2782" w:type="dxa"/>
            <w:vAlign w:val="center"/>
          </w:tcPr>
          <w:p w:rsidR="00845831" w:rsidRDefault="00297B50" w:rsidP="00B972E2">
            <w:pPr>
              <w:spacing w:before="156" w:after="156" w:line="240" w:lineRule="auto"/>
              <w:ind w:firstLineChars="0" w:firstLine="0"/>
              <w:jc w:val="center"/>
              <w:rPr>
                <w:sz w:val="21"/>
                <w:szCs w:val="21"/>
              </w:rPr>
            </w:pPr>
            <w:r>
              <w:rPr>
                <w:sz w:val="21"/>
                <w:szCs w:val="21"/>
              </w:rPr>
              <w:t>60</w:t>
            </w:r>
          </w:p>
        </w:tc>
        <w:tc>
          <w:tcPr>
            <w:tcW w:w="2783" w:type="dxa"/>
            <w:vAlign w:val="center"/>
          </w:tcPr>
          <w:p w:rsidR="00845831" w:rsidRDefault="00297B50" w:rsidP="00B972E2">
            <w:pPr>
              <w:spacing w:before="156" w:after="156" w:line="240" w:lineRule="auto"/>
              <w:ind w:firstLineChars="0" w:firstLine="0"/>
              <w:jc w:val="center"/>
              <w:rPr>
                <w:sz w:val="21"/>
                <w:szCs w:val="21"/>
              </w:rPr>
            </w:pPr>
            <w:r>
              <w:rPr>
                <w:sz w:val="21"/>
                <w:szCs w:val="21"/>
              </w:rPr>
              <w:t>40</w:t>
            </w:r>
          </w:p>
        </w:tc>
      </w:tr>
      <w:tr w:rsidR="00845831" w:rsidTr="00B972E2">
        <w:trPr>
          <w:trHeight w:hRule="exact" w:val="567"/>
          <w:jc w:val="center"/>
        </w:trPr>
        <w:tc>
          <w:tcPr>
            <w:tcW w:w="2373" w:type="dxa"/>
            <w:vAlign w:val="center"/>
          </w:tcPr>
          <w:p w:rsidR="00845831" w:rsidRDefault="00297B50" w:rsidP="00B972E2">
            <w:pPr>
              <w:spacing w:before="156" w:after="156" w:line="240" w:lineRule="auto"/>
              <w:ind w:firstLineChars="0" w:firstLine="0"/>
              <w:jc w:val="center"/>
              <w:rPr>
                <w:sz w:val="21"/>
                <w:szCs w:val="21"/>
              </w:rPr>
            </w:pPr>
            <w:r>
              <w:rPr>
                <w:sz w:val="21"/>
                <w:szCs w:val="21"/>
              </w:rPr>
              <w:t>7.5</w:t>
            </w:r>
          </w:p>
        </w:tc>
        <w:tc>
          <w:tcPr>
            <w:tcW w:w="2782" w:type="dxa"/>
            <w:vAlign w:val="center"/>
          </w:tcPr>
          <w:p w:rsidR="00845831" w:rsidRDefault="00297B50" w:rsidP="00B972E2">
            <w:pPr>
              <w:spacing w:before="156" w:after="156" w:line="240" w:lineRule="auto"/>
              <w:ind w:firstLineChars="0" w:firstLine="0"/>
              <w:jc w:val="center"/>
              <w:rPr>
                <w:sz w:val="21"/>
                <w:szCs w:val="21"/>
              </w:rPr>
            </w:pPr>
            <w:r>
              <w:rPr>
                <w:sz w:val="21"/>
                <w:szCs w:val="21"/>
              </w:rPr>
              <w:t>90</w:t>
            </w:r>
          </w:p>
        </w:tc>
        <w:tc>
          <w:tcPr>
            <w:tcW w:w="2783" w:type="dxa"/>
            <w:vAlign w:val="center"/>
          </w:tcPr>
          <w:p w:rsidR="00845831" w:rsidRDefault="00297B50" w:rsidP="00B972E2">
            <w:pPr>
              <w:spacing w:before="156" w:after="156" w:line="240" w:lineRule="auto"/>
              <w:ind w:firstLineChars="0" w:firstLine="0"/>
              <w:jc w:val="center"/>
              <w:rPr>
                <w:sz w:val="21"/>
                <w:szCs w:val="21"/>
              </w:rPr>
            </w:pPr>
            <w:r>
              <w:rPr>
                <w:sz w:val="21"/>
                <w:szCs w:val="21"/>
              </w:rPr>
              <w:t>10</w:t>
            </w:r>
          </w:p>
        </w:tc>
      </w:tr>
      <w:tr w:rsidR="00845831" w:rsidTr="00B972E2">
        <w:trPr>
          <w:trHeight w:hRule="exact" w:val="567"/>
          <w:jc w:val="center"/>
        </w:trPr>
        <w:tc>
          <w:tcPr>
            <w:tcW w:w="2373" w:type="dxa"/>
            <w:vAlign w:val="center"/>
          </w:tcPr>
          <w:p w:rsidR="00845831" w:rsidRDefault="00297B50" w:rsidP="00B972E2">
            <w:pPr>
              <w:spacing w:before="156" w:after="156" w:line="240" w:lineRule="auto"/>
              <w:ind w:firstLineChars="0" w:firstLine="0"/>
              <w:jc w:val="center"/>
              <w:rPr>
                <w:sz w:val="21"/>
                <w:szCs w:val="21"/>
              </w:rPr>
            </w:pPr>
            <w:r>
              <w:rPr>
                <w:sz w:val="21"/>
                <w:szCs w:val="21"/>
              </w:rPr>
              <w:t>9.0</w:t>
            </w:r>
          </w:p>
        </w:tc>
        <w:tc>
          <w:tcPr>
            <w:tcW w:w="2782" w:type="dxa"/>
            <w:vAlign w:val="center"/>
          </w:tcPr>
          <w:p w:rsidR="00845831" w:rsidRDefault="00297B50" w:rsidP="00B972E2">
            <w:pPr>
              <w:spacing w:before="156" w:after="156" w:line="240" w:lineRule="auto"/>
              <w:ind w:firstLineChars="0" w:firstLine="0"/>
              <w:jc w:val="center"/>
              <w:rPr>
                <w:sz w:val="21"/>
                <w:szCs w:val="21"/>
              </w:rPr>
            </w:pPr>
            <w:r>
              <w:rPr>
                <w:sz w:val="21"/>
                <w:szCs w:val="21"/>
              </w:rPr>
              <w:t>10</w:t>
            </w:r>
          </w:p>
        </w:tc>
        <w:tc>
          <w:tcPr>
            <w:tcW w:w="2783" w:type="dxa"/>
            <w:vAlign w:val="center"/>
          </w:tcPr>
          <w:p w:rsidR="00845831" w:rsidRDefault="00297B50" w:rsidP="00B972E2">
            <w:pPr>
              <w:spacing w:before="156" w:after="156" w:line="240" w:lineRule="auto"/>
              <w:ind w:firstLineChars="0" w:firstLine="0"/>
              <w:jc w:val="center"/>
              <w:rPr>
                <w:sz w:val="21"/>
                <w:szCs w:val="21"/>
              </w:rPr>
            </w:pPr>
            <w:r>
              <w:rPr>
                <w:sz w:val="21"/>
                <w:szCs w:val="21"/>
              </w:rPr>
              <w:t>90</w:t>
            </w:r>
          </w:p>
        </w:tc>
      </w:tr>
      <w:tr w:rsidR="00845831" w:rsidTr="00B972E2">
        <w:trPr>
          <w:trHeight w:hRule="exact" w:val="567"/>
          <w:jc w:val="center"/>
        </w:trPr>
        <w:tc>
          <w:tcPr>
            <w:tcW w:w="2373" w:type="dxa"/>
            <w:vAlign w:val="center"/>
          </w:tcPr>
          <w:p w:rsidR="00845831" w:rsidRDefault="00297B50" w:rsidP="00B972E2">
            <w:pPr>
              <w:spacing w:before="156" w:after="156" w:line="240" w:lineRule="auto"/>
              <w:ind w:firstLineChars="0" w:firstLine="0"/>
              <w:jc w:val="center"/>
              <w:rPr>
                <w:sz w:val="21"/>
                <w:szCs w:val="21"/>
              </w:rPr>
            </w:pPr>
            <w:r>
              <w:rPr>
                <w:sz w:val="21"/>
                <w:szCs w:val="21"/>
              </w:rPr>
              <w:t>12.0</w:t>
            </w:r>
          </w:p>
        </w:tc>
        <w:tc>
          <w:tcPr>
            <w:tcW w:w="2782" w:type="dxa"/>
            <w:vAlign w:val="center"/>
          </w:tcPr>
          <w:p w:rsidR="00845831" w:rsidRDefault="00297B50" w:rsidP="00B972E2">
            <w:pPr>
              <w:spacing w:before="156" w:after="156" w:line="240" w:lineRule="auto"/>
              <w:ind w:firstLineChars="0" w:firstLine="0"/>
              <w:jc w:val="center"/>
              <w:rPr>
                <w:sz w:val="21"/>
                <w:szCs w:val="21"/>
              </w:rPr>
            </w:pPr>
            <w:r>
              <w:rPr>
                <w:sz w:val="21"/>
                <w:szCs w:val="21"/>
              </w:rPr>
              <w:t>10</w:t>
            </w:r>
          </w:p>
        </w:tc>
        <w:tc>
          <w:tcPr>
            <w:tcW w:w="2783" w:type="dxa"/>
            <w:vAlign w:val="center"/>
          </w:tcPr>
          <w:p w:rsidR="00845831" w:rsidRDefault="00297B50" w:rsidP="00B972E2">
            <w:pPr>
              <w:spacing w:before="156" w:after="156" w:line="240" w:lineRule="auto"/>
              <w:ind w:firstLineChars="0" w:firstLine="0"/>
              <w:jc w:val="center"/>
              <w:rPr>
                <w:sz w:val="21"/>
                <w:szCs w:val="21"/>
              </w:rPr>
            </w:pPr>
            <w:r>
              <w:rPr>
                <w:sz w:val="21"/>
                <w:szCs w:val="21"/>
              </w:rPr>
              <w:t>90</w:t>
            </w:r>
          </w:p>
        </w:tc>
      </w:tr>
    </w:tbl>
    <w:p w:rsidR="00845831" w:rsidRDefault="00297B50">
      <w:pPr>
        <w:pStyle w:val="3"/>
        <w:spacing w:before="156" w:after="156"/>
      </w:pPr>
      <w:r>
        <w:rPr>
          <w:rFonts w:hint="eastAsia"/>
        </w:rPr>
        <w:t>3</w:t>
      </w:r>
      <w:r>
        <w:t>.</w:t>
      </w:r>
      <w:r>
        <w:rPr>
          <w:rFonts w:hint="eastAsia"/>
        </w:rPr>
        <w:t>3</w:t>
      </w:r>
      <w:r>
        <w:rPr>
          <w:rFonts w:hint="eastAsia"/>
        </w:rPr>
        <w:t>流动相流速的选择</w:t>
      </w:r>
    </w:p>
    <w:p w:rsidR="00845831" w:rsidRPr="0005466B" w:rsidRDefault="00297B50">
      <w:pPr>
        <w:spacing w:before="156" w:after="156"/>
        <w:ind w:firstLine="480"/>
        <w:rPr>
          <w:color w:val="000000"/>
        </w:rPr>
      </w:pPr>
      <w:r>
        <w:rPr>
          <w:rFonts w:hint="eastAsia"/>
          <w:color w:val="000000"/>
        </w:rPr>
        <w:t>本实验</w:t>
      </w:r>
      <w:r w:rsidRPr="0005466B">
        <w:rPr>
          <w:color w:val="000000"/>
        </w:rPr>
        <w:t>选择了</w:t>
      </w:r>
      <w:r w:rsidRPr="0005466B">
        <w:rPr>
          <w:color w:val="000000"/>
        </w:rPr>
        <w:t>0.2</w:t>
      </w:r>
      <w:r w:rsidRPr="0005466B">
        <w:rPr>
          <w:color w:val="000000"/>
        </w:rPr>
        <w:t>、</w:t>
      </w:r>
      <w:r w:rsidRPr="0005466B">
        <w:rPr>
          <w:color w:val="000000"/>
        </w:rPr>
        <w:t>0.3</w:t>
      </w:r>
      <w:r w:rsidRPr="0005466B">
        <w:rPr>
          <w:color w:val="000000"/>
        </w:rPr>
        <w:t>、</w:t>
      </w:r>
      <w:r w:rsidRPr="0005466B">
        <w:rPr>
          <w:color w:val="000000"/>
        </w:rPr>
        <w:t>0.4 mL/min</w:t>
      </w:r>
      <w:r w:rsidRPr="0005466B">
        <w:rPr>
          <w:color w:val="000000"/>
        </w:rPr>
        <w:t>三种流速进行比较。流速太慢，会导致保留时间太长，甚至实现不了分离；流速较快会将保留时间较短的物质一起洗入，造成干扰。综合考虑，选择流动相流速为</w:t>
      </w:r>
      <w:r w:rsidRPr="0005466B">
        <w:rPr>
          <w:color w:val="000000"/>
        </w:rPr>
        <w:t>0.3 mL/min</w:t>
      </w:r>
      <w:r w:rsidRPr="0005466B">
        <w:rPr>
          <w:color w:val="000000"/>
        </w:rPr>
        <w:t>。</w:t>
      </w:r>
    </w:p>
    <w:p w:rsidR="00845831" w:rsidRPr="0005466B" w:rsidRDefault="00297B50">
      <w:pPr>
        <w:pStyle w:val="3"/>
        <w:spacing w:before="156" w:after="156"/>
        <w:rPr>
          <w:color w:val="000000"/>
        </w:rPr>
      </w:pPr>
      <w:r w:rsidRPr="0005466B">
        <w:lastRenderedPageBreak/>
        <w:t>3.4</w:t>
      </w:r>
      <w:r w:rsidRPr="0005466B">
        <w:rPr>
          <w:color w:val="000000"/>
        </w:rPr>
        <w:t>柱温的选择</w:t>
      </w:r>
    </w:p>
    <w:p w:rsidR="00845831" w:rsidRPr="0005466B" w:rsidRDefault="00297B50">
      <w:pPr>
        <w:spacing w:before="156" w:after="156"/>
        <w:ind w:firstLine="480"/>
      </w:pPr>
      <w:r w:rsidRPr="0005466B">
        <w:t>本研究测定了</w:t>
      </w:r>
      <w:r w:rsidRPr="0005466B">
        <w:t>20℃</w:t>
      </w:r>
      <w:r w:rsidRPr="0005466B">
        <w:t>～</w:t>
      </w:r>
      <w:r w:rsidRPr="0005466B">
        <w:t>40℃</w:t>
      </w:r>
      <w:r w:rsidRPr="0005466B">
        <w:t>的分离效能，实验证明，柱温对赤霉酸的分离并无明显影响，但同一浓度的赤霉酸离子丰度随柱温的升高而下降，这主要是因为赤霉酸结构中含有四个环状结构，一个内酯环，两个羟基，两个双键和一个羧基及八个手性碳，其在温度较低的酸性条件下结构比较稳定，当温度升高至</w:t>
      </w:r>
      <w:r w:rsidRPr="0005466B">
        <w:t>55℃</w:t>
      </w:r>
      <w:r w:rsidRPr="0005466B">
        <w:t>以上时，会发生剧烈的分解失活反应。而柱温低易受环境温度影响，不易稳定，综合考虑，选择</w:t>
      </w:r>
      <w:r w:rsidRPr="0005466B">
        <w:t>30℃</w:t>
      </w:r>
      <w:r w:rsidRPr="0005466B">
        <w:t>为合适的柱温。</w:t>
      </w:r>
    </w:p>
    <w:p w:rsidR="00845831" w:rsidRDefault="00297B50">
      <w:pPr>
        <w:pStyle w:val="2"/>
        <w:spacing w:before="156" w:after="156"/>
      </w:pPr>
      <w:r>
        <w:rPr>
          <w:rFonts w:hint="eastAsia"/>
        </w:rPr>
        <w:t>4</w:t>
      </w:r>
      <w:r w:rsidR="001B407F">
        <w:rPr>
          <w:rFonts w:hint="eastAsia"/>
        </w:rPr>
        <w:t xml:space="preserve"> </w:t>
      </w:r>
      <w:r>
        <w:rPr>
          <w:rFonts w:hint="eastAsia"/>
        </w:rPr>
        <w:t>质谱条件的选择</w:t>
      </w:r>
    </w:p>
    <w:p w:rsidR="00845831" w:rsidRDefault="00297B50">
      <w:pPr>
        <w:spacing w:before="156" w:after="156"/>
        <w:ind w:firstLine="480"/>
      </w:pPr>
      <w:r>
        <w:rPr>
          <w:rFonts w:hint="eastAsia"/>
        </w:rPr>
        <w:t>赤霉酸</w:t>
      </w:r>
      <w:r>
        <w:rPr>
          <w:rFonts w:hint="eastAsia"/>
        </w:rPr>
        <w:t>pK</w:t>
      </w:r>
      <w:r>
        <w:rPr>
          <w:rFonts w:hint="eastAsia"/>
        </w:rPr>
        <w:t>为</w:t>
      </w:r>
      <w:r>
        <w:rPr>
          <w:rFonts w:hint="eastAsia"/>
        </w:rPr>
        <w:t>4.00</w:t>
      </w:r>
      <w:r>
        <w:rPr>
          <w:rFonts w:hint="eastAsia"/>
        </w:rPr>
        <w:t>，因此须采用</w:t>
      </w:r>
      <w:r>
        <w:rPr>
          <w:rFonts w:hint="eastAsia"/>
        </w:rPr>
        <w:t>ESI</w:t>
      </w:r>
      <w:r>
        <w:rPr>
          <w:rFonts w:hint="eastAsia"/>
        </w:rPr>
        <w:t>的负电离模式有利于获得更好的离子化效率在电喷雾负离子模式（</w:t>
      </w:r>
      <w:r>
        <w:rPr>
          <w:rFonts w:hint="eastAsia"/>
        </w:rPr>
        <w:t>ESI</w:t>
      </w:r>
      <w:r>
        <w:rPr>
          <w:rFonts w:hint="eastAsia"/>
          <w:vertAlign w:val="superscript"/>
        </w:rPr>
        <w:t>-</w:t>
      </w:r>
      <w:r>
        <w:rPr>
          <w:rFonts w:hint="eastAsia"/>
        </w:rPr>
        <w:t>）下，多反应监测模式（</w:t>
      </w:r>
      <w:r>
        <w:rPr>
          <w:rFonts w:hint="eastAsia"/>
        </w:rPr>
        <w:t>MRM</w:t>
      </w:r>
      <w:r>
        <w:rPr>
          <w:rFonts w:hint="eastAsia"/>
        </w:rPr>
        <w:t>），离子源温度</w:t>
      </w:r>
      <w:r>
        <w:rPr>
          <w:rFonts w:hint="eastAsia"/>
        </w:rPr>
        <w:t xml:space="preserve">550 </w:t>
      </w:r>
      <w:r>
        <w:rPr>
          <w:rFonts w:hint="eastAsia"/>
        </w:rPr>
        <w:t>℃，雾化气压力</w:t>
      </w:r>
      <w:r>
        <w:rPr>
          <w:rFonts w:hint="eastAsia"/>
        </w:rPr>
        <w:t>55 psi</w:t>
      </w:r>
      <w:r>
        <w:rPr>
          <w:rFonts w:hint="eastAsia"/>
        </w:rPr>
        <w:t>，气帘气（氮气）压力</w:t>
      </w:r>
      <w:r>
        <w:rPr>
          <w:rFonts w:hint="eastAsia"/>
        </w:rPr>
        <w:t>40 psi</w:t>
      </w:r>
      <w:r>
        <w:rPr>
          <w:rFonts w:hint="eastAsia"/>
        </w:rPr>
        <w:t>，采用直接进样的方式对赤霉酸进行分析。</w:t>
      </w:r>
    </w:p>
    <w:p w:rsidR="00845831" w:rsidRDefault="003E332F">
      <w:pPr>
        <w:spacing w:before="156" w:after="156"/>
        <w:ind w:firstLineChars="0" w:firstLine="0"/>
        <w:jc w:val="center"/>
      </w:pPr>
      <w:r>
        <w:rPr>
          <w:noProof/>
        </w:rPr>
        <mc:AlternateContent>
          <mc:Choice Requires="wps">
            <w:drawing>
              <wp:inline distT="0" distB="0" distL="0" distR="0">
                <wp:extent cx="1605280" cy="2055495"/>
                <wp:effectExtent l="0" t="0" r="0" b="3810"/>
                <wp:docPr id="4"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5280" cy="2055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5831" w:rsidRDefault="00297B50">
                            <w:pPr>
                              <w:spacing w:before="156" w:after="156"/>
                              <w:ind w:firstLine="480"/>
                              <w:jc w:val="center"/>
                              <w:rPr>
                                <w:rFonts w:cs="Arial"/>
                                <w:bCs/>
                                <w:sz w:val="16"/>
                                <w:szCs w:val="16"/>
                              </w:rPr>
                            </w:pPr>
                            <w:r>
                              <w:t>cms1</w:t>
                            </w:r>
                            <w:r>
                              <w:rPr>
                                <w:szCs w:val="20"/>
                              </w:rPr>
                              <w:t>(</w:t>
                            </w:r>
                            <w:r>
                              <w:t>345.0 / 143.0</w:t>
                            </w:r>
                            <w:r>
                              <w:rPr>
                                <w:szCs w:val="20"/>
                              </w:rPr>
                              <w:t>)</w:t>
                            </w:r>
                          </w:p>
                          <w:p w:rsidR="00845831" w:rsidRDefault="00845831">
                            <w:pPr>
                              <w:spacing w:before="156" w:after="156"/>
                              <w:ind w:firstLine="320"/>
                              <w:rPr>
                                <w:bCs/>
                                <w:sz w:val="16"/>
                                <w:szCs w:val="16"/>
                              </w:rPr>
                            </w:pPr>
                          </w:p>
                          <w:p w:rsidR="00845831" w:rsidRDefault="00297B50">
                            <w:pPr>
                              <w:spacing w:before="156" w:after="156"/>
                              <w:ind w:firstLine="320"/>
                              <w:jc w:val="center"/>
                            </w:pPr>
                            <w:r>
                              <w:rPr>
                                <w:noProof/>
                                <w:sz w:val="16"/>
                                <w:szCs w:val="16"/>
                              </w:rPr>
                              <w:drawing>
                                <wp:inline distT="0" distB="0" distL="0" distR="0">
                                  <wp:extent cx="1783715" cy="1248410"/>
                                  <wp:effectExtent l="0" t="0" r="0" b="0"/>
                                  <wp:docPr id="3" name="图片 3" descr="$[ANALYTE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NALYTE GRAPH]$"/>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783715" cy="124841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5" o:spid="_x0000_s1026" type="#_x0000_t202" style="width:126.4pt;height:16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" stroked="f">
                <v:textbox inset="0,0,0,0">
                  <w:txbxContent>
                    <w:p w:rsidR="00845831" w:rsidRDefault="00297B50">
                      <w:pPr>
                        <w:spacing w:before="156" w:after="156"/>
                        <w:ind w:firstLine="480"/>
                        <w:jc w:val="center"/>
                        <w:rPr>
                          <w:rFonts w:cs="Arial"/>
                          <w:bCs/>
                          <w:sz w:val="16"/>
                          <w:szCs w:val="16"/>
                        </w:rPr>
                      </w:pPr>
                      <w:r>
                        <w:t>cms1</w:t>
                      </w:r>
                      <w:r>
                        <w:rPr>
                          <w:szCs w:val="20"/>
                        </w:rPr>
                        <w:t>(</w:t>
                      </w:r>
                      <w:r>
                        <w:t>345.0 / 143.0</w:t>
                      </w:r>
                      <w:r>
                        <w:rPr>
                          <w:szCs w:val="20"/>
                        </w:rPr>
                        <w:t>)</w:t>
                      </w:r>
                    </w:p>
                    <w:p w:rsidR="00845831" w:rsidRDefault="00845831">
                      <w:pPr>
                        <w:spacing w:before="156" w:after="156"/>
                        <w:ind w:firstLine="320"/>
                        <w:rPr>
                          <w:bCs/>
                          <w:sz w:val="16"/>
                          <w:szCs w:val="16"/>
                        </w:rPr>
                      </w:pPr>
                    </w:p>
                    <w:p w:rsidR="00845831" w:rsidRDefault="00297B50">
                      <w:pPr>
                        <w:spacing w:before="156" w:after="156"/>
                        <w:ind w:firstLine="320"/>
                        <w:jc w:val="center"/>
                      </w:pPr>
                      <w:r>
                        <w:rPr>
                          <w:noProof/>
                          <w:sz w:val="16"/>
                          <w:szCs w:val="16"/>
                        </w:rPr>
                        <w:drawing>
                          <wp:inline distT="0" distB="0" distL="0" distR="0">
                            <wp:extent cx="1783715" cy="1248410"/>
                            <wp:effectExtent l="0" t="0" r="0" b="0"/>
                            <wp:docPr id="3" name="图片 3" descr="$[ANALYTE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NALYTE GRAPH]$"/>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783715" cy="1248410"/>
                                    </a:xfrm>
                                    <a:prstGeom prst="rect">
                                      <a:avLst/>
                                    </a:prstGeom>
                                    <a:noFill/>
                                    <a:ln>
                                      <a:noFill/>
                                    </a:ln>
                                  </pic:spPr>
                                </pic:pic>
                              </a:graphicData>
                            </a:graphic>
                          </wp:inline>
                        </w:drawing>
                      </w:r>
                    </w:p>
                  </w:txbxContent>
                </v:textbox>
                <w10:anchorlock/>
              </v:shape>
            </w:pict>
          </mc:Fallback>
        </mc:AlternateContent>
      </w:r>
      <w:r>
        <w:rPr>
          <w:noProof/>
        </w:rPr>
        <mc:AlternateContent>
          <mc:Choice Requires="wps">
            <w:drawing>
              <wp:inline distT="0" distB="0" distL="0" distR="0">
                <wp:extent cx="1605280" cy="2055495"/>
                <wp:effectExtent l="0" t="0" r="0" b="3810"/>
                <wp:docPr id="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5280" cy="2055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5831" w:rsidRDefault="00297B50">
                            <w:pPr>
                              <w:spacing w:before="156" w:after="156"/>
                              <w:ind w:firstLine="480"/>
                              <w:jc w:val="center"/>
                              <w:rPr>
                                <w:rFonts w:cs="Arial"/>
                                <w:bCs/>
                                <w:sz w:val="16"/>
                                <w:szCs w:val="16"/>
                              </w:rPr>
                            </w:pPr>
                            <w:r>
                              <w:t>cms2</w:t>
                            </w:r>
                            <w:r>
                              <w:rPr>
                                <w:szCs w:val="20"/>
                              </w:rPr>
                              <w:t>(</w:t>
                            </w:r>
                            <w:r>
                              <w:t>345.0 / 239.0</w:t>
                            </w:r>
                            <w:r>
                              <w:rPr>
                                <w:szCs w:val="20"/>
                              </w:rPr>
                              <w:t>)</w:t>
                            </w:r>
                          </w:p>
                          <w:p w:rsidR="00845831" w:rsidRDefault="00845831">
                            <w:pPr>
                              <w:spacing w:before="156" w:after="156"/>
                              <w:ind w:firstLine="320"/>
                              <w:rPr>
                                <w:bCs/>
                                <w:sz w:val="16"/>
                                <w:szCs w:val="16"/>
                              </w:rPr>
                            </w:pPr>
                          </w:p>
                          <w:p w:rsidR="00845831" w:rsidRDefault="00297B50">
                            <w:pPr>
                              <w:spacing w:before="156" w:after="156"/>
                              <w:ind w:firstLine="320"/>
                              <w:jc w:val="center"/>
                            </w:pPr>
                            <w:r>
                              <w:rPr>
                                <w:noProof/>
                                <w:sz w:val="16"/>
                                <w:szCs w:val="16"/>
                              </w:rPr>
                              <w:drawing>
                                <wp:inline distT="0" distB="0" distL="0" distR="0">
                                  <wp:extent cx="1816100" cy="1248410"/>
                                  <wp:effectExtent l="0" t="0" r="0" b="0"/>
                                  <wp:docPr id="2" name="图片 2" descr="$[ANALYTE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NALYTE GRAPH]$"/>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816100" cy="124841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inline>
            </w:drawing>
          </mc:Choice>
          <mc:Fallback>
            <w:pict>
              <v:shape id="文本框 4" o:spid="_x0000_s1027" type="#_x0000_t202" style="width:126.4pt;height:16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" stroked="f">
                <v:textbox inset="0,0,0,0">
                  <w:txbxContent>
                    <w:p w:rsidR="00845831" w:rsidRDefault="00297B50">
                      <w:pPr>
                        <w:spacing w:before="156" w:after="156"/>
                        <w:ind w:firstLine="480"/>
                        <w:jc w:val="center"/>
                        <w:rPr>
                          <w:rFonts w:cs="Arial"/>
                          <w:bCs/>
                          <w:sz w:val="16"/>
                          <w:szCs w:val="16"/>
                        </w:rPr>
                      </w:pPr>
                      <w:r>
                        <w:t>cms2</w:t>
                      </w:r>
                      <w:r>
                        <w:rPr>
                          <w:szCs w:val="20"/>
                        </w:rPr>
                        <w:t>(</w:t>
                      </w:r>
                      <w:r>
                        <w:t>345.0 / 239.0</w:t>
                      </w:r>
                      <w:r>
                        <w:rPr>
                          <w:szCs w:val="20"/>
                        </w:rPr>
                        <w:t>)</w:t>
                      </w:r>
                    </w:p>
                    <w:p w:rsidR="00845831" w:rsidRDefault="00845831">
                      <w:pPr>
                        <w:spacing w:before="156" w:after="156"/>
                        <w:ind w:firstLine="320"/>
                        <w:rPr>
                          <w:bCs/>
                          <w:sz w:val="16"/>
                          <w:szCs w:val="16"/>
                        </w:rPr>
                      </w:pPr>
                    </w:p>
                    <w:p w:rsidR="00845831" w:rsidRDefault="00297B50">
                      <w:pPr>
                        <w:spacing w:before="156" w:after="156"/>
                        <w:ind w:firstLine="320"/>
                        <w:jc w:val="center"/>
                      </w:pPr>
                      <w:r>
                        <w:rPr>
                          <w:noProof/>
                          <w:sz w:val="16"/>
                          <w:szCs w:val="16"/>
                        </w:rPr>
                        <w:drawing>
                          <wp:inline distT="0" distB="0" distL="0" distR="0">
                            <wp:extent cx="1816100" cy="1248410"/>
                            <wp:effectExtent l="0" t="0" r="0" b="0"/>
                            <wp:docPr id="2" name="图片 2" descr="$[ANALYTE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NALYTE GRAPH]$"/>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816100" cy="1248410"/>
                                    </a:xfrm>
                                    <a:prstGeom prst="rect">
                                      <a:avLst/>
                                    </a:prstGeom>
                                    <a:noFill/>
                                    <a:ln>
                                      <a:noFill/>
                                    </a:ln>
                                  </pic:spPr>
                                </pic:pic>
                              </a:graphicData>
                            </a:graphic>
                          </wp:inline>
                        </w:drawing>
                      </w:r>
                    </w:p>
                  </w:txbxContent>
                </v:textbox>
                <w10:anchorlock/>
              </v:shape>
            </w:pict>
          </mc:Fallback>
        </mc:AlternateContent>
      </w:r>
    </w:p>
    <w:p w:rsidR="00845831" w:rsidRDefault="00297B50">
      <w:pPr>
        <w:spacing w:before="156" w:after="156"/>
        <w:ind w:firstLineChars="95" w:firstLine="199"/>
        <w:jc w:val="center"/>
        <w:rPr>
          <w:sz w:val="21"/>
          <w:szCs w:val="21"/>
        </w:rPr>
      </w:pPr>
      <w:r>
        <w:rPr>
          <w:rFonts w:hint="eastAsia"/>
          <w:sz w:val="21"/>
          <w:szCs w:val="21"/>
        </w:rPr>
        <w:t>图</w:t>
      </w:r>
      <w:r>
        <w:rPr>
          <w:rFonts w:hint="eastAsia"/>
          <w:sz w:val="21"/>
          <w:szCs w:val="21"/>
        </w:rPr>
        <w:t xml:space="preserve">1 </w:t>
      </w:r>
      <w:r>
        <w:rPr>
          <w:rFonts w:hint="eastAsia"/>
          <w:sz w:val="21"/>
          <w:szCs w:val="21"/>
        </w:rPr>
        <w:t>赤霉酸的子离子质谱图</w:t>
      </w:r>
    </w:p>
    <w:p w:rsidR="00845831" w:rsidRDefault="00297B50">
      <w:pPr>
        <w:spacing w:before="156" w:after="156"/>
        <w:ind w:firstLine="480"/>
      </w:pPr>
      <w:r>
        <w:rPr>
          <w:rFonts w:hint="eastAsia"/>
        </w:rPr>
        <w:t>在</w:t>
      </w:r>
      <w:r>
        <w:rPr>
          <w:rFonts w:hint="eastAsia"/>
        </w:rPr>
        <w:t>MS</w:t>
      </w:r>
      <w:r>
        <w:rPr>
          <w:rFonts w:hint="eastAsia"/>
        </w:rPr>
        <w:t>全扫描模式下，得到赤霉酸准分子离子峰</w:t>
      </w:r>
      <w:r>
        <w:rPr>
          <w:rFonts w:hint="eastAsia"/>
        </w:rPr>
        <w:t xml:space="preserve"> [M-H</w:t>
      </w:r>
      <w:r>
        <w:t>]</w:t>
      </w:r>
      <w:r>
        <w:rPr>
          <w:vertAlign w:val="superscript"/>
        </w:rPr>
        <w:t>–</w:t>
      </w:r>
      <w:r>
        <w:rPr>
          <w:rFonts w:hint="eastAsia"/>
        </w:rPr>
        <w:t>m/z 345</w:t>
      </w:r>
      <w:r>
        <w:rPr>
          <w:rFonts w:hint="eastAsia"/>
        </w:rPr>
        <w:t>，确定其一级质谱分子离子峰为</w:t>
      </w:r>
      <w:r>
        <w:rPr>
          <w:rFonts w:hint="eastAsia"/>
        </w:rPr>
        <w:t>m/z 345</w:t>
      </w:r>
      <w:r>
        <w:rPr>
          <w:rFonts w:hint="eastAsia"/>
        </w:rPr>
        <w:t>，以</w:t>
      </w:r>
      <w:r>
        <w:rPr>
          <w:rFonts w:hint="eastAsia"/>
        </w:rPr>
        <w:t>m/z 345</w:t>
      </w:r>
      <w:r>
        <w:rPr>
          <w:rFonts w:hint="eastAsia"/>
        </w:rPr>
        <w:t>为母离子，通过离子扫描得到</w:t>
      </w:r>
      <w:r>
        <w:rPr>
          <w:rFonts w:hint="eastAsia"/>
        </w:rPr>
        <w:t>m/z 345</w:t>
      </w:r>
      <w:r>
        <w:rPr>
          <w:rFonts w:hint="eastAsia"/>
        </w:rPr>
        <w:t>两个峰度最高的子离子，得到其二级质谱图，其二级质谱图如图</w:t>
      </w:r>
      <w:r>
        <w:rPr>
          <w:rFonts w:hint="eastAsia"/>
        </w:rPr>
        <w:t>1</w:t>
      </w:r>
      <w:r>
        <w:rPr>
          <w:rFonts w:hint="eastAsia"/>
        </w:rPr>
        <w:t>所示。由图</w:t>
      </w:r>
      <w:r>
        <w:rPr>
          <w:rFonts w:hint="eastAsia"/>
        </w:rPr>
        <w:t>1</w:t>
      </w:r>
      <w:r>
        <w:rPr>
          <w:rFonts w:hint="eastAsia"/>
        </w:rPr>
        <w:t>可以确定赤霉酸的子离子是</w:t>
      </w:r>
      <w:r>
        <w:rPr>
          <w:rFonts w:hint="eastAsia"/>
        </w:rPr>
        <w:t>m/z 239</w:t>
      </w:r>
      <w:r>
        <w:rPr>
          <w:rFonts w:hint="eastAsia"/>
        </w:rPr>
        <w:t>和</w:t>
      </w:r>
      <w:r>
        <w:rPr>
          <w:rFonts w:hint="eastAsia"/>
        </w:rPr>
        <w:t>m/z 143</w:t>
      </w:r>
      <w:r>
        <w:rPr>
          <w:rFonts w:hint="eastAsia"/>
        </w:rPr>
        <w:t>，其中子离子</w:t>
      </w:r>
      <w:r>
        <w:rPr>
          <w:rFonts w:hint="eastAsia"/>
        </w:rPr>
        <w:t>m/z 239</w:t>
      </w:r>
      <w:r>
        <w:rPr>
          <w:rFonts w:hint="eastAsia"/>
        </w:rPr>
        <w:t>的峰度最大。由此确定用质谱分析定量离子对是</w:t>
      </w:r>
      <w:r>
        <w:rPr>
          <w:rFonts w:hint="eastAsia"/>
        </w:rPr>
        <w:t>m/z 345 &gt; m/z 239</w:t>
      </w:r>
      <w:r>
        <w:rPr>
          <w:rFonts w:hint="eastAsia"/>
        </w:rPr>
        <w:t>，定性离子对是</w:t>
      </w:r>
      <w:r>
        <w:rPr>
          <w:rFonts w:hint="eastAsia"/>
        </w:rPr>
        <w:t>m/z 345 &gt;m/z 239,m/z 345 &gt; m/z 143</w:t>
      </w:r>
      <w:r>
        <w:rPr>
          <w:rFonts w:hint="eastAsia"/>
        </w:rPr>
        <w:t>。赤霉酸母离子、子离子、定量离子对及对应的锥孔电压和碰撞电压见表</w:t>
      </w:r>
      <w:r>
        <w:rPr>
          <w:rFonts w:hint="eastAsia"/>
        </w:rPr>
        <w:t>3</w:t>
      </w:r>
      <w:r>
        <w:rPr>
          <w:rFonts w:hint="eastAsia"/>
        </w:rPr>
        <w:t>。</w:t>
      </w:r>
    </w:p>
    <w:p w:rsidR="00845831" w:rsidRDefault="00297B50">
      <w:pPr>
        <w:spacing w:before="156" w:afterLines="0"/>
        <w:ind w:firstLine="420"/>
        <w:jc w:val="center"/>
        <w:rPr>
          <w:sz w:val="21"/>
          <w:szCs w:val="21"/>
        </w:rPr>
      </w:pPr>
      <w:r>
        <w:rPr>
          <w:rFonts w:hint="eastAsia"/>
          <w:sz w:val="21"/>
          <w:szCs w:val="21"/>
        </w:rPr>
        <w:lastRenderedPageBreak/>
        <w:t>表</w:t>
      </w:r>
      <w:r>
        <w:rPr>
          <w:rFonts w:hint="eastAsia"/>
          <w:sz w:val="21"/>
          <w:szCs w:val="21"/>
        </w:rPr>
        <w:t>3</w:t>
      </w:r>
      <w:r>
        <w:rPr>
          <w:rFonts w:hint="eastAsia"/>
          <w:sz w:val="21"/>
          <w:szCs w:val="21"/>
        </w:rPr>
        <w:t>赤霉酸的串联质谱参数</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523"/>
        <w:gridCol w:w="1885"/>
        <w:gridCol w:w="1705"/>
        <w:gridCol w:w="1705"/>
      </w:tblGrid>
      <w:tr w:rsidR="00845831" w:rsidTr="00B25467">
        <w:trPr>
          <w:trHeight w:hRule="exact" w:val="567"/>
          <w:jc w:val="center"/>
        </w:trPr>
        <w:tc>
          <w:tcPr>
            <w:tcW w:w="1704" w:type="dxa"/>
            <w:shd w:val="clear" w:color="auto" w:fill="auto"/>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母离子（</w:t>
            </w:r>
            <w:r>
              <w:rPr>
                <w:rFonts w:hint="eastAsia"/>
                <w:sz w:val="21"/>
                <w:szCs w:val="21"/>
              </w:rPr>
              <w:t>M-H</w:t>
            </w:r>
            <w:r>
              <w:rPr>
                <w:rFonts w:hint="eastAsia"/>
                <w:sz w:val="21"/>
                <w:szCs w:val="21"/>
              </w:rPr>
              <w:t>）</w:t>
            </w:r>
            <w:r>
              <w:rPr>
                <w:rFonts w:hint="eastAsia"/>
                <w:sz w:val="21"/>
                <w:szCs w:val="21"/>
              </w:rPr>
              <w:t>(m/z)</w:t>
            </w:r>
          </w:p>
        </w:tc>
        <w:tc>
          <w:tcPr>
            <w:tcW w:w="1523" w:type="dxa"/>
            <w:shd w:val="clear" w:color="auto" w:fill="auto"/>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子离子（</w:t>
            </w:r>
            <w:r>
              <w:rPr>
                <w:rFonts w:hint="eastAsia"/>
                <w:sz w:val="21"/>
                <w:szCs w:val="21"/>
              </w:rPr>
              <w:t>m/z</w:t>
            </w:r>
            <w:r>
              <w:rPr>
                <w:rFonts w:hint="eastAsia"/>
                <w:sz w:val="21"/>
                <w:szCs w:val="21"/>
              </w:rPr>
              <w:t>）</w:t>
            </w:r>
          </w:p>
        </w:tc>
        <w:tc>
          <w:tcPr>
            <w:tcW w:w="1885" w:type="dxa"/>
            <w:shd w:val="clear" w:color="auto" w:fill="auto"/>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定量离子对（</w:t>
            </w:r>
            <w:r>
              <w:rPr>
                <w:rFonts w:hint="eastAsia"/>
                <w:sz w:val="21"/>
                <w:szCs w:val="21"/>
              </w:rPr>
              <w:t>m/z</w:t>
            </w:r>
            <w:r>
              <w:rPr>
                <w:rFonts w:hint="eastAsia"/>
                <w:sz w:val="21"/>
                <w:szCs w:val="21"/>
              </w:rPr>
              <w:t>）</w:t>
            </w:r>
          </w:p>
        </w:tc>
        <w:tc>
          <w:tcPr>
            <w:tcW w:w="1705" w:type="dxa"/>
            <w:shd w:val="clear" w:color="auto" w:fill="auto"/>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解吸电压</w:t>
            </w:r>
            <w:r>
              <w:rPr>
                <w:rFonts w:hint="eastAsia"/>
                <w:sz w:val="21"/>
                <w:szCs w:val="21"/>
              </w:rPr>
              <w:t>/V</w:t>
            </w:r>
          </w:p>
        </w:tc>
        <w:tc>
          <w:tcPr>
            <w:tcW w:w="1705" w:type="dxa"/>
            <w:shd w:val="clear" w:color="auto" w:fill="auto"/>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碰撞能量</w:t>
            </w:r>
            <w:r>
              <w:rPr>
                <w:rFonts w:hint="eastAsia"/>
                <w:sz w:val="21"/>
                <w:szCs w:val="21"/>
              </w:rPr>
              <w:t>/eV</w:t>
            </w:r>
          </w:p>
        </w:tc>
      </w:tr>
      <w:tr w:rsidR="00845831" w:rsidTr="00B25467">
        <w:trPr>
          <w:trHeight w:hRule="exact" w:val="567"/>
          <w:jc w:val="center"/>
        </w:trPr>
        <w:tc>
          <w:tcPr>
            <w:tcW w:w="1704" w:type="dxa"/>
            <w:vMerge w:val="restart"/>
            <w:shd w:val="clear" w:color="auto" w:fill="auto"/>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345</w:t>
            </w:r>
          </w:p>
        </w:tc>
        <w:tc>
          <w:tcPr>
            <w:tcW w:w="1523" w:type="dxa"/>
            <w:shd w:val="clear" w:color="auto" w:fill="auto"/>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239</w:t>
            </w:r>
          </w:p>
        </w:tc>
        <w:tc>
          <w:tcPr>
            <w:tcW w:w="1885" w:type="dxa"/>
            <w:vMerge w:val="restart"/>
            <w:shd w:val="clear" w:color="auto" w:fill="auto"/>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345 &gt; 239</w:t>
            </w:r>
          </w:p>
        </w:tc>
        <w:tc>
          <w:tcPr>
            <w:tcW w:w="1705" w:type="dxa"/>
            <w:shd w:val="clear" w:color="auto" w:fill="auto"/>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105</w:t>
            </w:r>
          </w:p>
        </w:tc>
        <w:tc>
          <w:tcPr>
            <w:tcW w:w="1705" w:type="dxa"/>
            <w:shd w:val="clear" w:color="auto" w:fill="auto"/>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21</w:t>
            </w:r>
          </w:p>
        </w:tc>
      </w:tr>
      <w:tr w:rsidR="00845831" w:rsidTr="00B25467">
        <w:trPr>
          <w:trHeight w:hRule="exact" w:val="567"/>
          <w:jc w:val="center"/>
        </w:trPr>
        <w:tc>
          <w:tcPr>
            <w:tcW w:w="1704" w:type="dxa"/>
            <w:vMerge/>
            <w:shd w:val="clear" w:color="auto" w:fill="auto"/>
            <w:vAlign w:val="center"/>
          </w:tcPr>
          <w:p w:rsidR="00845831" w:rsidRDefault="00845831" w:rsidP="00B25467">
            <w:pPr>
              <w:spacing w:before="156" w:after="156" w:line="240" w:lineRule="auto"/>
              <w:ind w:firstLineChars="0" w:firstLine="0"/>
              <w:jc w:val="center"/>
              <w:rPr>
                <w:sz w:val="21"/>
                <w:szCs w:val="21"/>
              </w:rPr>
            </w:pPr>
          </w:p>
        </w:tc>
        <w:tc>
          <w:tcPr>
            <w:tcW w:w="1523" w:type="dxa"/>
            <w:shd w:val="clear" w:color="auto" w:fill="auto"/>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143</w:t>
            </w:r>
          </w:p>
        </w:tc>
        <w:tc>
          <w:tcPr>
            <w:tcW w:w="1885" w:type="dxa"/>
            <w:vMerge/>
            <w:shd w:val="clear" w:color="auto" w:fill="auto"/>
            <w:vAlign w:val="center"/>
          </w:tcPr>
          <w:p w:rsidR="00845831" w:rsidRDefault="00845831" w:rsidP="00B25467">
            <w:pPr>
              <w:spacing w:before="156" w:after="156" w:line="240" w:lineRule="auto"/>
              <w:ind w:firstLineChars="0" w:firstLine="0"/>
              <w:jc w:val="center"/>
              <w:rPr>
                <w:sz w:val="21"/>
                <w:szCs w:val="21"/>
              </w:rPr>
            </w:pPr>
          </w:p>
        </w:tc>
        <w:tc>
          <w:tcPr>
            <w:tcW w:w="1705" w:type="dxa"/>
            <w:shd w:val="clear" w:color="auto" w:fill="auto"/>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105</w:t>
            </w:r>
          </w:p>
        </w:tc>
        <w:tc>
          <w:tcPr>
            <w:tcW w:w="1705" w:type="dxa"/>
            <w:shd w:val="clear" w:color="auto" w:fill="auto"/>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22</w:t>
            </w:r>
          </w:p>
        </w:tc>
      </w:tr>
    </w:tbl>
    <w:p w:rsidR="00845831" w:rsidRDefault="00297B50">
      <w:pPr>
        <w:pStyle w:val="2"/>
        <w:spacing w:before="156" w:after="156"/>
      </w:pPr>
      <w:r>
        <w:rPr>
          <w:rFonts w:hint="eastAsia"/>
        </w:rPr>
        <w:t>5</w:t>
      </w:r>
      <w:r w:rsidR="001B407F">
        <w:rPr>
          <w:rFonts w:hint="eastAsia"/>
        </w:rPr>
        <w:t xml:space="preserve"> </w:t>
      </w:r>
      <w:r>
        <w:rPr>
          <w:rFonts w:hint="eastAsia"/>
        </w:rPr>
        <w:t>方法的线性范围和检出限、定量限</w:t>
      </w:r>
    </w:p>
    <w:p w:rsidR="00845831" w:rsidRDefault="00297B50">
      <w:pPr>
        <w:spacing w:before="156" w:after="156"/>
        <w:ind w:firstLine="480"/>
        <w:rPr>
          <w:color w:val="000000"/>
        </w:rPr>
      </w:pPr>
      <w:r>
        <w:rPr>
          <w:color w:val="000000"/>
        </w:rPr>
        <w:t>定量采用标准曲线外标法，纵坐标为赤霉酸峰面积，横坐标为赤霉酸的浓度。</w:t>
      </w:r>
      <w:r>
        <w:t>分别配制</w:t>
      </w:r>
      <w:r>
        <w:rPr>
          <w:rFonts w:hint="eastAsia"/>
        </w:rPr>
        <w:t>0</w:t>
      </w:r>
      <w:r>
        <w:rPr>
          <w:rFonts w:hint="eastAsia"/>
        </w:rPr>
        <w:t>、</w:t>
      </w:r>
      <w:r>
        <w:t>10</w:t>
      </w:r>
      <w:r>
        <w:t>、</w:t>
      </w:r>
      <w:r>
        <w:t>20</w:t>
      </w:r>
      <w:r>
        <w:t>、</w:t>
      </w:r>
      <w:r>
        <w:t>50</w:t>
      </w:r>
      <w:r>
        <w:t>、</w:t>
      </w:r>
      <w:r>
        <w:t>100</w:t>
      </w:r>
      <w:r>
        <w:t>、</w:t>
      </w:r>
      <w:r>
        <w:t>200 ng/mL</w:t>
      </w:r>
      <w:r>
        <w:t>的赤霉酸标准溶液，其相应浓度的质谱峰强度如表</w:t>
      </w:r>
      <w:r>
        <w:rPr>
          <w:rFonts w:hint="eastAsia"/>
        </w:rPr>
        <w:t>4</w:t>
      </w:r>
      <w:r>
        <w:t>所示，其标准曲线如图</w:t>
      </w:r>
      <w:r>
        <w:rPr>
          <w:rFonts w:hint="eastAsia"/>
        </w:rPr>
        <w:t>2</w:t>
      </w:r>
      <w:r>
        <w:t>所示，线性方程为</w:t>
      </w:r>
      <w:r>
        <w:t>Y=2.59×10</w:t>
      </w:r>
      <w:r>
        <w:rPr>
          <w:vertAlign w:val="superscript"/>
        </w:rPr>
        <w:t>4</w:t>
      </w:r>
      <w:r>
        <w:t>X+3.03×10</w:t>
      </w:r>
      <w:r>
        <w:rPr>
          <w:vertAlign w:val="superscript"/>
        </w:rPr>
        <w:t>4</w:t>
      </w:r>
      <w:r>
        <w:t>。</w:t>
      </w:r>
      <w:r>
        <w:rPr>
          <w:color w:val="000000"/>
        </w:rPr>
        <w:t>从图中可以看出赤霉酸浓度在</w:t>
      </w:r>
      <w:r>
        <w:rPr>
          <w:color w:val="000000"/>
        </w:rPr>
        <w:t xml:space="preserve">10~200 </w:t>
      </w:r>
      <w:r>
        <w:t>ng/mL</w:t>
      </w:r>
      <w:r>
        <w:rPr>
          <w:color w:val="000000"/>
        </w:rPr>
        <w:t>范围内，</w:t>
      </w:r>
      <w:r>
        <w:rPr>
          <w:rFonts w:hint="eastAsia"/>
          <w:color w:val="000000"/>
        </w:rPr>
        <w:t>相关系数</w:t>
      </w:r>
      <w:r>
        <w:rPr>
          <w:rFonts w:hint="eastAsia"/>
          <w:color w:val="000000"/>
        </w:rPr>
        <w:t>0.9998</w:t>
      </w:r>
      <w:r>
        <w:rPr>
          <w:rFonts w:hint="eastAsia"/>
          <w:color w:val="000000"/>
        </w:rPr>
        <w:t>，</w:t>
      </w:r>
      <w:r>
        <w:rPr>
          <w:color w:val="000000"/>
        </w:rPr>
        <w:t>线</w:t>
      </w:r>
      <w:r>
        <w:rPr>
          <w:rFonts w:hint="eastAsia"/>
          <w:color w:val="000000"/>
        </w:rPr>
        <w:t>性关系良好。</w:t>
      </w:r>
    </w:p>
    <w:p w:rsidR="00845831" w:rsidRDefault="00297B50">
      <w:pPr>
        <w:spacing w:before="156" w:after="156"/>
        <w:ind w:firstLine="480"/>
      </w:pPr>
      <w:r>
        <w:rPr>
          <w:rFonts w:hint="eastAsia"/>
          <w:color w:val="000000"/>
        </w:rPr>
        <w:t>在空白样品中加入赤霉酸标准溶液，使样品中赤霉酸含量为</w:t>
      </w:r>
      <w:r>
        <w:rPr>
          <w:rFonts w:hint="eastAsia"/>
          <w:color w:val="000000"/>
        </w:rPr>
        <w:t>20 mg/kg</w:t>
      </w:r>
      <w:r>
        <w:rPr>
          <w:rFonts w:hint="eastAsia"/>
          <w:color w:val="000000"/>
        </w:rPr>
        <w:t>，</w:t>
      </w:r>
      <w:r>
        <w:rPr>
          <w:color w:val="000000"/>
        </w:rPr>
        <w:t>把样品稀释成为一系列的浓度，</w:t>
      </w:r>
      <w:r>
        <w:rPr>
          <w:rFonts w:hint="eastAsia"/>
          <w:color w:val="000000"/>
        </w:rPr>
        <w:t>按由低至高的顺序</w:t>
      </w:r>
      <w:r>
        <w:rPr>
          <w:color w:val="000000"/>
        </w:rPr>
        <w:t>分别进样，</w:t>
      </w:r>
      <w:r>
        <w:rPr>
          <w:rFonts w:hint="eastAsia"/>
          <w:color w:val="000000"/>
        </w:rPr>
        <w:t>以信噪比为</w:t>
      </w:r>
      <w:r>
        <w:rPr>
          <w:color w:val="000000"/>
        </w:rPr>
        <w:t>3</w:t>
      </w:r>
      <w:r>
        <w:rPr>
          <w:rFonts w:hint="eastAsia"/>
          <w:color w:val="000000"/>
        </w:rPr>
        <w:t>（</w:t>
      </w:r>
      <w:r>
        <w:rPr>
          <w:color w:val="000000"/>
        </w:rPr>
        <w:t>S/N=3</w:t>
      </w:r>
      <w:r>
        <w:rPr>
          <w:rFonts w:hint="eastAsia"/>
          <w:color w:val="000000"/>
        </w:rPr>
        <w:t>）计算，得出肥料中赤霉酸最低检出限为</w:t>
      </w:r>
      <w:r>
        <w:rPr>
          <w:rFonts w:hint="eastAsia"/>
          <w:color w:val="000000"/>
        </w:rPr>
        <w:t>0.</w:t>
      </w:r>
      <w:r w:rsidR="004304E5">
        <w:rPr>
          <w:rFonts w:hint="eastAsia"/>
          <w:color w:val="000000"/>
        </w:rPr>
        <w:t>0</w:t>
      </w:r>
      <w:r>
        <w:rPr>
          <w:rFonts w:hint="eastAsia"/>
          <w:color w:val="000000"/>
        </w:rPr>
        <w:t xml:space="preserve">3 </w:t>
      </w:r>
      <w:r>
        <w:rPr>
          <w:color w:val="000000"/>
        </w:rPr>
        <w:t>mg/kg</w:t>
      </w:r>
      <w:r>
        <w:rPr>
          <w:rFonts w:hint="eastAsia"/>
          <w:color w:val="000000"/>
        </w:rPr>
        <w:t>，以信噪比为</w:t>
      </w:r>
      <w:r>
        <w:rPr>
          <w:rFonts w:hint="eastAsia"/>
          <w:color w:val="000000"/>
        </w:rPr>
        <w:t>10</w:t>
      </w:r>
      <w:r>
        <w:rPr>
          <w:rFonts w:hint="eastAsia"/>
          <w:color w:val="000000"/>
        </w:rPr>
        <w:t>（</w:t>
      </w:r>
      <w:r>
        <w:rPr>
          <w:color w:val="000000"/>
        </w:rPr>
        <w:t>S/N=</w:t>
      </w:r>
      <w:r>
        <w:rPr>
          <w:rFonts w:hint="eastAsia"/>
          <w:color w:val="000000"/>
        </w:rPr>
        <w:t>10</w:t>
      </w:r>
      <w:r>
        <w:rPr>
          <w:rFonts w:hint="eastAsia"/>
          <w:color w:val="000000"/>
        </w:rPr>
        <w:t>）计</w:t>
      </w:r>
      <w:r>
        <w:rPr>
          <w:rFonts w:cs="Calibri" w:hint="eastAsia"/>
          <w:color w:val="000000"/>
        </w:rPr>
        <w:t>算，得出</w:t>
      </w:r>
      <w:r>
        <w:rPr>
          <w:rFonts w:hint="eastAsia"/>
        </w:rPr>
        <w:t>最低定量限为</w:t>
      </w:r>
      <w:r w:rsidR="004304E5">
        <w:rPr>
          <w:rFonts w:hint="eastAsia"/>
        </w:rPr>
        <w:t>0.1</w:t>
      </w:r>
      <w:r>
        <w:rPr>
          <w:rFonts w:hint="eastAsia"/>
        </w:rPr>
        <w:t xml:space="preserve"> </w:t>
      </w:r>
      <w:r>
        <w:t>mg/kg</w:t>
      </w:r>
      <w:r>
        <w:rPr>
          <w:rFonts w:hint="eastAsia"/>
        </w:rPr>
        <w:t>。</w:t>
      </w:r>
    </w:p>
    <w:p w:rsidR="00845831" w:rsidRDefault="00297B50">
      <w:pPr>
        <w:spacing w:before="156" w:afterLines="0"/>
        <w:ind w:firstLine="420"/>
        <w:jc w:val="center"/>
        <w:rPr>
          <w:sz w:val="21"/>
          <w:szCs w:val="21"/>
        </w:rPr>
      </w:pPr>
      <w:r>
        <w:rPr>
          <w:rFonts w:hint="eastAsia"/>
          <w:sz w:val="21"/>
          <w:szCs w:val="21"/>
        </w:rPr>
        <w:t>表</w:t>
      </w:r>
      <w:r>
        <w:rPr>
          <w:rFonts w:hint="eastAsia"/>
          <w:sz w:val="21"/>
          <w:szCs w:val="21"/>
        </w:rPr>
        <w:t xml:space="preserve">4 </w:t>
      </w:r>
      <w:r>
        <w:rPr>
          <w:rFonts w:hint="eastAsia"/>
          <w:sz w:val="21"/>
          <w:szCs w:val="21"/>
        </w:rPr>
        <w:t>离子对</w:t>
      </w:r>
      <w:r>
        <w:rPr>
          <w:rFonts w:hint="eastAsia"/>
          <w:sz w:val="21"/>
          <w:szCs w:val="21"/>
        </w:rPr>
        <w:t>m/z 345 &gt; 143</w:t>
      </w:r>
      <w:r>
        <w:rPr>
          <w:rFonts w:hint="eastAsia"/>
          <w:sz w:val="21"/>
          <w:szCs w:val="21"/>
        </w:rPr>
        <w:t>各浓度相关参数</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2131"/>
        <w:gridCol w:w="2131"/>
      </w:tblGrid>
      <w:tr w:rsidR="00845831" w:rsidTr="00B25467">
        <w:trPr>
          <w:trHeight w:hRule="exact" w:val="567"/>
        </w:trPr>
        <w:tc>
          <w:tcPr>
            <w:tcW w:w="2130" w:type="dxa"/>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rFonts w:hint="eastAsia"/>
                <w:sz w:val="21"/>
                <w:szCs w:val="21"/>
              </w:rPr>
              <w:t>定量离子对</w:t>
            </w:r>
          </w:p>
        </w:tc>
        <w:tc>
          <w:tcPr>
            <w:tcW w:w="2130" w:type="dxa"/>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sz w:val="21"/>
                <w:szCs w:val="21"/>
              </w:rPr>
              <w:t>浓度</w:t>
            </w:r>
            <w:r w:rsidR="004A33C5">
              <w:rPr>
                <w:rFonts w:hint="eastAsia"/>
                <w:sz w:val="21"/>
                <w:szCs w:val="21"/>
              </w:rPr>
              <w:t>/(</w:t>
            </w:r>
            <w:r w:rsidR="004A33C5" w:rsidRPr="004A33C5">
              <w:rPr>
                <w:sz w:val="21"/>
                <w:szCs w:val="21"/>
              </w:rPr>
              <w:t>ng/mL</w:t>
            </w:r>
            <w:r w:rsidR="004A33C5">
              <w:rPr>
                <w:rFonts w:hint="eastAsia"/>
                <w:sz w:val="21"/>
                <w:szCs w:val="21"/>
              </w:rPr>
              <w:t>)</w:t>
            </w:r>
          </w:p>
        </w:tc>
        <w:tc>
          <w:tcPr>
            <w:tcW w:w="2131" w:type="dxa"/>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sz w:val="21"/>
                <w:szCs w:val="21"/>
              </w:rPr>
              <w:t>校正浓度</w:t>
            </w:r>
            <w:r w:rsidR="004A33C5">
              <w:rPr>
                <w:rFonts w:hint="eastAsia"/>
                <w:sz w:val="21"/>
                <w:szCs w:val="21"/>
              </w:rPr>
              <w:t>/(</w:t>
            </w:r>
            <w:r w:rsidR="004A33C5" w:rsidRPr="004A33C5">
              <w:rPr>
                <w:sz w:val="21"/>
                <w:szCs w:val="21"/>
              </w:rPr>
              <w:t>ng/mL</w:t>
            </w:r>
            <w:r w:rsidR="004A33C5">
              <w:rPr>
                <w:rFonts w:hint="eastAsia"/>
                <w:sz w:val="21"/>
                <w:szCs w:val="21"/>
              </w:rPr>
              <w:t>)</w:t>
            </w:r>
          </w:p>
        </w:tc>
        <w:tc>
          <w:tcPr>
            <w:tcW w:w="2131" w:type="dxa"/>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rFonts w:hint="eastAsia"/>
                <w:sz w:val="21"/>
                <w:szCs w:val="21"/>
              </w:rPr>
              <w:t>峰面积</w:t>
            </w:r>
          </w:p>
        </w:tc>
      </w:tr>
      <w:tr w:rsidR="00845831" w:rsidTr="00B25467">
        <w:trPr>
          <w:trHeight w:hRule="exact" w:val="567"/>
        </w:trPr>
        <w:tc>
          <w:tcPr>
            <w:tcW w:w="2130" w:type="dxa"/>
            <w:vMerge w:val="restart"/>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rFonts w:hint="eastAsia"/>
                <w:sz w:val="21"/>
                <w:szCs w:val="21"/>
              </w:rPr>
              <w:t>m/z 345 &gt; 143</w:t>
            </w:r>
          </w:p>
        </w:tc>
        <w:tc>
          <w:tcPr>
            <w:tcW w:w="2130" w:type="dxa"/>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rFonts w:hint="eastAsia"/>
                <w:sz w:val="21"/>
                <w:szCs w:val="21"/>
              </w:rPr>
              <w:t>10</w:t>
            </w:r>
          </w:p>
        </w:tc>
        <w:tc>
          <w:tcPr>
            <w:tcW w:w="2131" w:type="dxa"/>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rFonts w:hint="eastAsia"/>
                <w:sz w:val="21"/>
                <w:szCs w:val="21"/>
              </w:rPr>
              <w:t>10.39</w:t>
            </w:r>
          </w:p>
        </w:tc>
        <w:tc>
          <w:tcPr>
            <w:tcW w:w="2131" w:type="dxa"/>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rFonts w:hint="eastAsia"/>
                <w:sz w:val="21"/>
                <w:szCs w:val="21"/>
              </w:rPr>
              <w:t>2.99</w:t>
            </w:r>
            <w:r w:rsidRPr="004A33C5">
              <w:rPr>
                <w:sz w:val="21"/>
                <w:szCs w:val="21"/>
              </w:rPr>
              <w:t>×10</w:t>
            </w:r>
            <w:r w:rsidRPr="004A33C5">
              <w:rPr>
                <w:rFonts w:hint="eastAsia"/>
                <w:sz w:val="21"/>
                <w:szCs w:val="21"/>
                <w:vertAlign w:val="superscript"/>
              </w:rPr>
              <w:t>5</w:t>
            </w:r>
          </w:p>
        </w:tc>
      </w:tr>
      <w:tr w:rsidR="00845831" w:rsidTr="00B25467">
        <w:trPr>
          <w:trHeight w:hRule="exact" w:val="567"/>
        </w:trPr>
        <w:tc>
          <w:tcPr>
            <w:tcW w:w="2130" w:type="dxa"/>
            <w:vMerge/>
            <w:shd w:val="clear" w:color="auto" w:fill="auto"/>
            <w:vAlign w:val="center"/>
          </w:tcPr>
          <w:p w:rsidR="00845831" w:rsidRPr="004A33C5" w:rsidRDefault="00845831" w:rsidP="00B25467">
            <w:pPr>
              <w:spacing w:before="156" w:after="156" w:line="240" w:lineRule="auto"/>
              <w:ind w:firstLineChars="0" w:firstLine="0"/>
              <w:jc w:val="center"/>
              <w:rPr>
                <w:sz w:val="21"/>
                <w:szCs w:val="21"/>
              </w:rPr>
            </w:pPr>
          </w:p>
        </w:tc>
        <w:tc>
          <w:tcPr>
            <w:tcW w:w="2130" w:type="dxa"/>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rFonts w:hint="eastAsia"/>
                <w:sz w:val="21"/>
                <w:szCs w:val="21"/>
              </w:rPr>
              <w:t>20</w:t>
            </w:r>
          </w:p>
        </w:tc>
        <w:tc>
          <w:tcPr>
            <w:tcW w:w="2131" w:type="dxa"/>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rFonts w:hint="eastAsia"/>
                <w:sz w:val="21"/>
                <w:szCs w:val="21"/>
              </w:rPr>
              <w:t>20.47</w:t>
            </w:r>
          </w:p>
        </w:tc>
        <w:tc>
          <w:tcPr>
            <w:tcW w:w="2131" w:type="dxa"/>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rFonts w:hint="eastAsia"/>
                <w:sz w:val="21"/>
                <w:szCs w:val="21"/>
              </w:rPr>
              <w:t>5.61</w:t>
            </w:r>
            <w:r w:rsidRPr="004A33C5">
              <w:rPr>
                <w:sz w:val="21"/>
                <w:szCs w:val="21"/>
              </w:rPr>
              <w:t>×10</w:t>
            </w:r>
            <w:r w:rsidRPr="004A33C5">
              <w:rPr>
                <w:rFonts w:hint="eastAsia"/>
                <w:sz w:val="21"/>
                <w:szCs w:val="21"/>
                <w:vertAlign w:val="superscript"/>
              </w:rPr>
              <w:t>5</w:t>
            </w:r>
          </w:p>
        </w:tc>
      </w:tr>
      <w:tr w:rsidR="00845831" w:rsidTr="00B25467">
        <w:trPr>
          <w:trHeight w:hRule="exact" w:val="567"/>
        </w:trPr>
        <w:tc>
          <w:tcPr>
            <w:tcW w:w="2130" w:type="dxa"/>
            <w:vMerge/>
            <w:shd w:val="clear" w:color="auto" w:fill="auto"/>
            <w:vAlign w:val="center"/>
          </w:tcPr>
          <w:p w:rsidR="00845831" w:rsidRPr="004A33C5" w:rsidRDefault="00845831" w:rsidP="00B25467">
            <w:pPr>
              <w:spacing w:before="156" w:after="156" w:line="240" w:lineRule="auto"/>
              <w:ind w:firstLineChars="0" w:firstLine="0"/>
              <w:jc w:val="center"/>
              <w:rPr>
                <w:sz w:val="21"/>
                <w:szCs w:val="21"/>
              </w:rPr>
            </w:pPr>
          </w:p>
        </w:tc>
        <w:tc>
          <w:tcPr>
            <w:tcW w:w="2130" w:type="dxa"/>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rFonts w:hint="eastAsia"/>
                <w:sz w:val="21"/>
                <w:szCs w:val="21"/>
              </w:rPr>
              <w:t>50</w:t>
            </w:r>
          </w:p>
        </w:tc>
        <w:tc>
          <w:tcPr>
            <w:tcW w:w="2131" w:type="dxa"/>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rFonts w:hint="eastAsia"/>
                <w:sz w:val="21"/>
                <w:szCs w:val="21"/>
              </w:rPr>
              <w:t>47.65</w:t>
            </w:r>
          </w:p>
        </w:tc>
        <w:tc>
          <w:tcPr>
            <w:tcW w:w="2131" w:type="dxa"/>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rFonts w:hint="eastAsia"/>
                <w:sz w:val="21"/>
                <w:szCs w:val="21"/>
              </w:rPr>
              <w:t>1.27</w:t>
            </w:r>
            <w:r w:rsidRPr="004A33C5">
              <w:rPr>
                <w:sz w:val="21"/>
                <w:szCs w:val="21"/>
              </w:rPr>
              <w:t>×10</w:t>
            </w:r>
            <w:r w:rsidRPr="004A33C5">
              <w:rPr>
                <w:rFonts w:hint="eastAsia"/>
                <w:sz w:val="21"/>
                <w:szCs w:val="21"/>
                <w:vertAlign w:val="superscript"/>
              </w:rPr>
              <w:t>6</w:t>
            </w:r>
          </w:p>
        </w:tc>
      </w:tr>
      <w:tr w:rsidR="00845831" w:rsidTr="00B25467">
        <w:trPr>
          <w:trHeight w:hRule="exact" w:val="567"/>
        </w:trPr>
        <w:tc>
          <w:tcPr>
            <w:tcW w:w="2130" w:type="dxa"/>
            <w:vMerge/>
            <w:shd w:val="clear" w:color="auto" w:fill="auto"/>
            <w:vAlign w:val="center"/>
          </w:tcPr>
          <w:p w:rsidR="00845831" w:rsidRPr="004A33C5" w:rsidRDefault="00845831" w:rsidP="00B25467">
            <w:pPr>
              <w:spacing w:before="156" w:after="156" w:line="240" w:lineRule="auto"/>
              <w:ind w:firstLineChars="0" w:firstLine="0"/>
              <w:jc w:val="center"/>
              <w:rPr>
                <w:sz w:val="21"/>
                <w:szCs w:val="21"/>
              </w:rPr>
            </w:pPr>
          </w:p>
        </w:tc>
        <w:tc>
          <w:tcPr>
            <w:tcW w:w="2130" w:type="dxa"/>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rFonts w:hint="eastAsia"/>
                <w:sz w:val="21"/>
                <w:szCs w:val="21"/>
              </w:rPr>
              <w:t>100</w:t>
            </w:r>
          </w:p>
        </w:tc>
        <w:tc>
          <w:tcPr>
            <w:tcW w:w="2131" w:type="dxa"/>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rFonts w:hint="eastAsia"/>
                <w:sz w:val="21"/>
                <w:szCs w:val="21"/>
              </w:rPr>
              <w:t>101.94</w:t>
            </w:r>
          </w:p>
        </w:tc>
        <w:tc>
          <w:tcPr>
            <w:tcW w:w="2131" w:type="dxa"/>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rFonts w:hint="eastAsia"/>
                <w:sz w:val="21"/>
                <w:szCs w:val="21"/>
              </w:rPr>
              <w:t>2.67</w:t>
            </w:r>
            <w:r w:rsidRPr="004A33C5">
              <w:rPr>
                <w:sz w:val="21"/>
                <w:szCs w:val="21"/>
              </w:rPr>
              <w:t>×10</w:t>
            </w:r>
            <w:r w:rsidRPr="004A33C5">
              <w:rPr>
                <w:rFonts w:hint="eastAsia"/>
                <w:sz w:val="21"/>
                <w:szCs w:val="21"/>
                <w:vertAlign w:val="superscript"/>
              </w:rPr>
              <w:t>6</w:t>
            </w:r>
          </w:p>
        </w:tc>
      </w:tr>
      <w:tr w:rsidR="00845831" w:rsidTr="00B25467">
        <w:trPr>
          <w:trHeight w:hRule="exact" w:val="567"/>
        </w:trPr>
        <w:tc>
          <w:tcPr>
            <w:tcW w:w="2130" w:type="dxa"/>
            <w:vMerge/>
            <w:shd w:val="clear" w:color="auto" w:fill="auto"/>
            <w:vAlign w:val="center"/>
          </w:tcPr>
          <w:p w:rsidR="00845831" w:rsidRPr="004A33C5" w:rsidRDefault="00845831" w:rsidP="00B25467">
            <w:pPr>
              <w:spacing w:before="156" w:after="156" w:line="240" w:lineRule="auto"/>
              <w:ind w:firstLineChars="0" w:firstLine="0"/>
              <w:jc w:val="center"/>
              <w:rPr>
                <w:sz w:val="21"/>
                <w:szCs w:val="21"/>
              </w:rPr>
            </w:pPr>
          </w:p>
        </w:tc>
        <w:tc>
          <w:tcPr>
            <w:tcW w:w="2130" w:type="dxa"/>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rFonts w:hint="eastAsia"/>
                <w:sz w:val="21"/>
                <w:szCs w:val="21"/>
              </w:rPr>
              <w:t>200</w:t>
            </w:r>
          </w:p>
        </w:tc>
        <w:tc>
          <w:tcPr>
            <w:tcW w:w="2131" w:type="dxa"/>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rFonts w:hint="eastAsia"/>
                <w:sz w:val="21"/>
                <w:szCs w:val="21"/>
              </w:rPr>
              <w:t>199.55</w:t>
            </w:r>
          </w:p>
        </w:tc>
        <w:tc>
          <w:tcPr>
            <w:tcW w:w="2131" w:type="dxa"/>
            <w:shd w:val="clear" w:color="auto" w:fill="auto"/>
            <w:vAlign w:val="center"/>
          </w:tcPr>
          <w:p w:rsidR="00845831" w:rsidRPr="004A33C5" w:rsidRDefault="00297B50" w:rsidP="00B25467">
            <w:pPr>
              <w:spacing w:before="156" w:after="156" w:line="240" w:lineRule="auto"/>
              <w:ind w:firstLineChars="0" w:firstLine="0"/>
              <w:jc w:val="center"/>
              <w:rPr>
                <w:sz w:val="21"/>
                <w:szCs w:val="21"/>
              </w:rPr>
            </w:pPr>
            <w:r w:rsidRPr="004A33C5">
              <w:rPr>
                <w:rFonts w:hint="eastAsia"/>
                <w:sz w:val="21"/>
                <w:szCs w:val="21"/>
              </w:rPr>
              <w:t>5.2</w:t>
            </w:r>
            <w:r w:rsidRPr="004A33C5">
              <w:rPr>
                <w:sz w:val="21"/>
                <w:szCs w:val="21"/>
              </w:rPr>
              <w:t>×10</w:t>
            </w:r>
            <w:r w:rsidRPr="004A33C5">
              <w:rPr>
                <w:rFonts w:hint="eastAsia"/>
                <w:sz w:val="21"/>
                <w:szCs w:val="21"/>
                <w:vertAlign w:val="superscript"/>
              </w:rPr>
              <w:t>6</w:t>
            </w:r>
          </w:p>
        </w:tc>
      </w:tr>
    </w:tbl>
    <w:p w:rsidR="00845831" w:rsidRDefault="00297B50">
      <w:pPr>
        <w:spacing w:before="156" w:after="156"/>
        <w:ind w:firstLineChars="0" w:firstLine="0"/>
        <w:jc w:val="center"/>
        <w:rPr>
          <w:sz w:val="21"/>
          <w:szCs w:val="21"/>
        </w:rPr>
      </w:pPr>
      <w:r>
        <w:rPr>
          <w:noProof/>
        </w:rPr>
        <w:lastRenderedPageBreak/>
        <w:drawing>
          <wp:inline distT="0" distB="0" distL="0" distR="0">
            <wp:extent cx="4419600" cy="30454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23242" cy="3047997"/>
                    </a:xfrm>
                    <a:prstGeom prst="rect">
                      <a:avLst/>
                    </a:prstGeom>
                    <a:noFill/>
                    <a:ln>
                      <a:noFill/>
                    </a:ln>
                  </pic:spPr>
                </pic:pic>
              </a:graphicData>
            </a:graphic>
          </wp:inline>
        </w:drawing>
      </w:r>
    </w:p>
    <w:p w:rsidR="00845831" w:rsidRDefault="00297B50">
      <w:pPr>
        <w:spacing w:before="156" w:after="156"/>
        <w:ind w:firstLineChars="0" w:firstLine="0"/>
        <w:jc w:val="center"/>
        <w:rPr>
          <w:sz w:val="21"/>
          <w:szCs w:val="21"/>
        </w:rPr>
      </w:pPr>
      <w:r>
        <w:rPr>
          <w:rFonts w:hint="eastAsia"/>
          <w:sz w:val="21"/>
          <w:szCs w:val="21"/>
        </w:rPr>
        <w:t>图</w:t>
      </w:r>
      <w:r>
        <w:rPr>
          <w:rFonts w:hint="eastAsia"/>
          <w:sz w:val="21"/>
          <w:szCs w:val="21"/>
        </w:rPr>
        <w:t xml:space="preserve">2 </w:t>
      </w:r>
      <w:r>
        <w:rPr>
          <w:rFonts w:hint="eastAsia"/>
          <w:sz w:val="21"/>
          <w:szCs w:val="21"/>
        </w:rPr>
        <w:t>赤霉酸标准曲线图</w:t>
      </w:r>
    </w:p>
    <w:p w:rsidR="00845831" w:rsidRDefault="00297B50">
      <w:pPr>
        <w:pStyle w:val="2"/>
        <w:spacing w:before="156" w:after="156"/>
      </w:pPr>
      <w:r>
        <w:rPr>
          <w:rFonts w:hint="eastAsia"/>
        </w:rPr>
        <w:t>6</w:t>
      </w:r>
      <w:r w:rsidR="001B407F">
        <w:rPr>
          <w:rFonts w:hint="eastAsia"/>
        </w:rPr>
        <w:t xml:space="preserve"> </w:t>
      </w:r>
      <w:r>
        <w:rPr>
          <w:rFonts w:hint="eastAsia"/>
        </w:rPr>
        <w:t>方法的回收率和精密度</w:t>
      </w:r>
    </w:p>
    <w:p w:rsidR="00845831" w:rsidRDefault="00297B50">
      <w:pPr>
        <w:spacing w:before="156" w:after="156"/>
        <w:ind w:firstLine="480"/>
      </w:pPr>
      <w:r>
        <w:rPr>
          <w:rFonts w:hint="eastAsia"/>
        </w:rPr>
        <w:t>选取</w:t>
      </w:r>
      <w:r>
        <w:rPr>
          <w:rFonts w:hint="eastAsia"/>
        </w:rPr>
        <w:t>100</w:t>
      </w:r>
      <w:r>
        <w:rPr>
          <w:rFonts w:hint="eastAsia"/>
        </w:rPr>
        <w:t>个实际肥料样品依次编号为</w:t>
      </w:r>
      <w:r>
        <w:rPr>
          <w:rFonts w:hint="eastAsia"/>
        </w:rPr>
        <w:t>1#</w:t>
      </w:r>
      <w:r>
        <w:rPr>
          <w:rFonts w:hint="eastAsia"/>
        </w:rPr>
        <w:t>、</w:t>
      </w:r>
      <w:r>
        <w:rPr>
          <w:rFonts w:hint="eastAsia"/>
        </w:rPr>
        <w:t>2#......100#</w:t>
      </w:r>
      <w:r>
        <w:rPr>
          <w:rFonts w:hint="eastAsia"/>
        </w:rPr>
        <w:t>，按标准方法检测，有八个样品检出赤霉酸，取其中四个样品测定加标回收率，每个样品平行测定两次，取两次测定结果的平均值作为空白值，在样品中加入赤霉酸的标准溶液，</w:t>
      </w:r>
      <w:r>
        <w:rPr>
          <w:rFonts w:hint="eastAsia"/>
          <w:szCs w:val="21"/>
        </w:rPr>
        <w:t>实验结果扣除空白值，剔除离群值后测定结果分别计算平均值和加标回收率，计算结果</w:t>
      </w:r>
      <w:r>
        <w:rPr>
          <w:rFonts w:hint="eastAsia"/>
        </w:rPr>
        <w:t>如表</w:t>
      </w:r>
      <w:r>
        <w:rPr>
          <w:rFonts w:hint="eastAsia"/>
        </w:rPr>
        <w:t>5</w:t>
      </w:r>
      <w:r>
        <w:rPr>
          <w:rFonts w:hint="eastAsia"/>
        </w:rPr>
        <w:t>所示。从数据看回收率在</w:t>
      </w:r>
      <w:r>
        <w:rPr>
          <w:rFonts w:hint="eastAsia"/>
        </w:rPr>
        <w:t>75%</w:t>
      </w:r>
      <w:r>
        <w:t>~</w:t>
      </w:r>
      <w:r>
        <w:rPr>
          <w:rFonts w:hint="eastAsia"/>
        </w:rPr>
        <w:t>115%</w:t>
      </w:r>
      <w:r>
        <w:rPr>
          <w:rFonts w:hint="eastAsia"/>
        </w:rPr>
        <w:t>之间，说明方法的准确性良好。</w:t>
      </w:r>
    </w:p>
    <w:p w:rsidR="00845831" w:rsidRDefault="00297B50">
      <w:pPr>
        <w:spacing w:before="156" w:afterLines="0"/>
        <w:ind w:firstLine="420"/>
        <w:jc w:val="center"/>
        <w:rPr>
          <w:sz w:val="21"/>
          <w:szCs w:val="21"/>
        </w:rPr>
      </w:pPr>
      <w:r>
        <w:rPr>
          <w:sz w:val="21"/>
          <w:szCs w:val="21"/>
        </w:rPr>
        <w:t>表</w:t>
      </w:r>
      <w:r>
        <w:rPr>
          <w:rFonts w:hint="eastAsia"/>
          <w:sz w:val="21"/>
          <w:szCs w:val="21"/>
        </w:rPr>
        <w:t>5</w:t>
      </w:r>
      <w:r>
        <w:rPr>
          <w:rFonts w:hint="eastAsia"/>
          <w:sz w:val="21"/>
          <w:szCs w:val="21"/>
        </w:rPr>
        <w:t>实际样品的加标回收率实验</w:t>
      </w:r>
    </w:p>
    <w:tbl>
      <w:tblPr>
        <w:tblStyle w:val="af6"/>
        <w:tblW w:w="8522" w:type="dxa"/>
        <w:tblLayout w:type="fixed"/>
        <w:tblLook w:val="04A0" w:firstRow="1" w:lastRow="0" w:firstColumn="1" w:lastColumn="0" w:noHBand="0" w:noVBand="1"/>
      </w:tblPr>
      <w:tblGrid>
        <w:gridCol w:w="1344"/>
        <w:gridCol w:w="2030"/>
        <w:gridCol w:w="1737"/>
        <w:gridCol w:w="1625"/>
        <w:gridCol w:w="1786"/>
      </w:tblGrid>
      <w:tr w:rsidR="00845831" w:rsidTr="00B25467">
        <w:trPr>
          <w:trHeight w:hRule="exact" w:val="567"/>
        </w:trPr>
        <w:tc>
          <w:tcPr>
            <w:tcW w:w="1344"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样品号</w:t>
            </w:r>
          </w:p>
        </w:tc>
        <w:tc>
          <w:tcPr>
            <w:tcW w:w="2030"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赤霉酸含量</w:t>
            </w:r>
            <w:r w:rsidR="004A33C5">
              <w:rPr>
                <w:rFonts w:hint="eastAsia"/>
                <w:sz w:val="21"/>
                <w:szCs w:val="21"/>
              </w:rPr>
              <w:t>/(</w:t>
            </w:r>
            <w:r w:rsidR="004A33C5" w:rsidRPr="004A33C5">
              <w:rPr>
                <w:sz w:val="21"/>
                <w:szCs w:val="21"/>
              </w:rPr>
              <w:t>ng/mL</w:t>
            </w:r>
            <w:r w:rsidR="004A33C5">
              <w:rPr>
                <w:rFonts w:hint="eastAsia"/>
                <w:sz w:val="21"/>
                <w:szCs w:val="21"/>
              </w:rPr>
              <w:t>)</w:t>
            </w:r>
          </w:p>
        </w:tc>
        <w:tc>
          <w:tcPr>
            <w:tcW w:w="1737"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加标量</w:t>
            </w:r>
            <w:r w:rsidR="004A33C5">
              <w:rPr>
                <w:rFonts w:hint="eastAsia"/>
                <w:sz w:val="21"/>
                <w:szCs w:val="21"/>
              </w:rPr>
              <w:t>/(</w:t>
            </w:r>
            <w:r w:rsidR="004A33C5" w:rsidRPr="004A33C5">
              <w:rPr>
                <w:sz w:val="21"/>
                <w:szCs w:val="21"/>
              </w:rPr>
              <w:t>ng/mL</w:t>
            </w:r>
            <w:r w:rsidR="004A33C5">
              <w:rPr>
                <w:rFonts w:hint="eastAsia"/>
                <w:sz w:val="21"/>
                <w:szCs w:val="21"/>
              </w:rPr>
              <w:t>)</w:t>
            </w:r>
          </w:p>
        </w:tc>
        <w:tc>
          <w:tcPr>
            <w:tcW w:w="162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测定值</w:t>
            </w:r>
            <w:r w:rsidR="004A33C5">
              <w:rPr>
                <w:rFonts w:hint="eastAsia"/>
                <w:sz w:val="21"/>
                <w:szCs w:val="21"/>
              </w:rPr>
              <w:t>/(</w:t>
            </w:r>
            <w:r w:rsidR="004A33C5" w:rsidRPr="004A33C5">
              <w:rPr>
                <w:sz w:val="21"/>
                <w:szCs w:val="21"/>
              </w:rPr>
              <w:t>ng/mL</w:t>
            </w:r>
            <w:r w:rsidR="004A33C5">
              <w:rPr>
                <w:rFonts w:hint="eastAsia"/>
                <w:sz w:val="21"/>
                <w:szCs w:val="21"/>
              </w:rPr>
              <w:t>)</w:t>
            </w:r>
          </w:p>
        </w:tc>
        <w:tc>
          <w:tcPr>
            <w:tcW w:w="1786"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回收率</w:t>
            </w:r>
            <w:r>
              <w:rPr>
                <w:rFonts w:hint="eastAsia"/>
                <w:sz w:val="21"/>
                <w:szCs w:val="21"/>
              </w:rPr>
              <w:t>/%</w:t>
            </w:r>
          </w:p>
        </w:tc>
      </w:tr>
      <w:tr w:rsidR="00845831" w:rsidTr="00B25467">
        <w:trPr>
          <w:trHeight w:hRule="exact" w:val="567"/>
        </w:trPr>
        <w:tc>
          <w:tcPr>
            <w:tcW w:w="1344" w:type="dxa"/>
            <w:vMerge w:val="restart"/>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5#</w:t>
            </w:r>
          </w:p>
        </w:tc>
        <w:tc>
          <w:tcPr>
            <w:tcW w:w="2030" w:type="dxa"/>
            <w:vMerge w:val="restart"/>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80.45</w:t>
            </w:r>
          </w:p>
        </w:tc>
        <w:tc>
          <w:tcPr>
            <w:tcW w:w="1737"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10</w:t>
            </w:r>
          </w:p>
        </w:tc>
        <w:tc>
          <w:tcPr>
            <w:tcW w:w="162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88.96</w:t>
            </w:r>
          </w:p>
        </w:tc>
        <w:tc>
          <w:tcPr>
            <w:tcW w:w="1786"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85.10</w:t>
            </w:r>
          </w:p>
        </w:tc>
      </w:tr>
      <w:tr w:rsidR="00845831" w:rsidTr="00B25467">
        <w:trPr>
          <w:trHeight w:hRule="exact" w:val="567"/>
        </w:trPr>
        <w:tc>
          <w:tcPr>
            <w:tcW w:w="1344" w:type="dxa"/>
            <w:vMerge/>
            <w:vAlign w:val="center"/>
          </w:tcPr>
          <w:p w:rsidR="00845831" w:rsidRDefault="00845831" w:rsidP="00B25467">
            <w:pPr>
              <w:spacing w:before="156" w:after="156" w:line="240" w:lineRule="auto"/>
              <w:ind w:firstLineChars="0" w:firstLine="0"/>
              <w:jc w:val="center"/>
              <w:rPr>
                <w:sz w:val="21"/>
                <w:szCs w:val="21"/>
              </w:rPr>
            </w:pPr>
          </w:p>
        </w:tc>
        <w:tc>
          <w:tcPr>
            <w:tcW w:w="2030" w:type="dxa"/>
            <w:vMerge/>
            <w:vAlign w:val="center"/>
          </w:tcPr>
          <w:p w:rsidR="00845831" w:rsidRDefault="00845831" w:rsidP="00B25467">
            <w:pPr>
              <w:spacing w:before="156" w:after="156" w:line="240" w:lineRule="auto"/>
              <w:ind w:firstLineChars="0" w:firstLine="0"/>
              <w:jc w:val="center"/>
              <w:rPr>
                <w:sz w:val="21"/>
                <w:szCs w:val="21"/>
              </w:rPr>
            </w:pPr>
          </w:p>
        </w:tc>
        <w:tc>
          <w:tcPr>
            <w:tcW w:w="1737"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50</w:t>
            </w:r>
          </w:p>
        </w:tc>
        <w:tc>
          <w:tcPr>
            <w:tcW w:w="162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126.08</w:t>
            </w:r>
          </w:p>
        </w:tc>
        <w:tc>
          <w:tcPr>
            <w:tcW w:w="1786"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91.26</w:t>
            </w:r>
          </w:p>
        </w:tc>
      </w:tr>
      <w:tr w:rsidR="00845831" w:rsidTr="00B25467">
        <w:trPr>
          <w:trHeight w:hRule="exact" w:val="567"/>
        </w:trPr>
        <w:tc>
          <w:tcPr>
            <w:tcW w:w="1344" w:type="dxa"/>
            <w:vMerge/>
            <w:vAlign w:val="center"/>
          </w:tcPr>
          <w:p w:rsidR="00845831" w:rsidRDefault="00845831" w:rsidP="00B25467">
            <w:pPr>
              <w:spacing w:before="156" w:after="156" w:line="240" w:lineRule="auto"/>
              <w:ind w:firstLineChars="0" w:firstLine="0"/>
              <w:jc w:val="center"/>
              <w:rPr>
                <w:sz w:val="21"/>
                <w:szCs w:val="21"/>
              </w:rPr>
            </w:pPr>
          </w:p>
        </w:tc>
        <w:tc>
          <w:tcPr>
            <w:tcW w:w="2030" w:type="dxa"/>
            <w:vMerge/>
            <w:vAlign w:val="center"/>
          </w:tcPr>
          <w:p w:rsidR="00845831" w:rsidRDefault="00845831" w:rsidP="00B25467">
            <w:pPr>
              <w:spacing w:before="156" w:after="156" w:line="240" w:lineRule="auto"/>
              <w:ind w:firstLineChars="0" w:firstLine="0"/>
              <w:jc w:val="center"/>
              <w:rPr>
                <w:sz w:val="21"/>
                <w:szCs w:val="21"/>
              </w:rPr>
            </w:pPr>
          </w:p>
        </w:tc>
        <w:tc>
          <w:tcPr>
            <w:tcW w:w="1737"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100</w:t>
            </w:r>
          </w:p>
        </w:tc>
        <w:tc>
          <w:tcPr>
            <w:tcW w:w="162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175.92</w:t>
            </w:r>
          </w:p>
        </w:tc>
        <w:tc>
          <w:tcPr>
            <w:tcW w:w="1786"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95.47</w:t>
            </w:r>
          </w:p>
        </w:tc>
      </w:tr>
      <w:tr w:rsidR="00845831" w:rsidTr="00B25467">
        <w:trPr>
          <w:trHeight w:hRule="exact" w:val="567"/>
        </w:trPr>
        <w:tc>
          <w:tcPr>
            <w:tcW w:w="1344" w:type="dxa"/>
            <w:vMerge w:val="restart"/>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8#</w:t>
            </w:r>
          </w:p>
        </w:tc>
        <w:tc>
          <w:tcPr>
            <w:tcW w:w="2030" w:type="dxa"/>
            <w:vMerge w:val="restart"/>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120.31</w:t>
            </w:r>
          </w:p>
        </w:tc>
        <w:tc>
          <w:tcPr>
            <w:tcW w:w="1737"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10</w:t>
            </w:r>
          </w:p>
        </w:tc>
        <w:tc>
          <w:tcPr>
            <w:tcW w:w="162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128.55</w:t>
            </w:r>
          </w:p>
        </w:tc>
        <w:tc>
          <w:tcPr>
            <w:tcW w:w="1786"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82.4</w:t>
            </w:r>
          </w:p>
        </w:tc>
      </w:tr>
      <w:tr w:rsidR="00845831" w:rsidTr="00B25467">
        <w:trPr>
          <w:trHeight w:hRule="exact" w:val="567"/>
        </w:trPr>
        <w:tc>
          <w:tcPr>
            <w:tcW w:w="1344" w:type="dxa"/>
            <w:vMerge/>
            <w:vAlign w:val="center"/>
          </w:tcPr>
          <w:p w:rsidR="00845831" w:rsidRDefault="00845831" w:rsidP="00B25467">
            <w:pPr>
              <w:spacing w:before="156" w:after="156" w:line="240" w:lineRule="auto"/>
              <w:ind w:firstLineChars="0" w:firstLine="0"/>
              <w:jc w:val="center"/>
              <w:rPr>
                <w:sz w:val="21"/>
                <w:szCs w:val="21"/>
              </w:rPr>
            </w:pPr>
          </w:p>
        </w:tc>
        <w:tc>
          <w:tcPr>
            <w:tcW w:w="2030" w:type="dxa"/>
            <w:vMerge/>
            <w:vAlign w:val="center"/>
          </w:tcPr>
          <w:p w:rsidR="00845831" w:rsidRDefault="00845831" w:rsidP="00B25467">
            <w:pPr>
              <w:spacing w:before="156" w:after="156" w:line="240" w:lineRule="auto"/>
              <w:ind w:firstLineChars="0" w:firstLine="0"/>
              <w:jc w:val="center"/>
              <w:rPr>
                <w:sz w:val="21"/>
                <w:szCs w:val="21"/>
              </w:rPr>
            </w:pPr>
          </w:p>
        </w:tc>
        <w:tc>
          <w:tcPr>
            <w:tcW w:w="1737"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50</w:t>
            </w:r>
          </w:p>
        </w:tc>
        <w:tc>
          <w:tcPr>
            <w:tcW w:w="162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175.78</w:t>
            </w:r>
          </w:p>
        </w:tc>
        <w:tc>
          <w:tcPr>
            <w:tcW w:w="1786"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110.94</w:t>
            </w:r>
          </w:p>
        </w:tc>
      </w:tr>
      <w:tr w:rsidR="00845831" w:rsidTr="00B25467">
        <w:trPr>
          <w:trHeight w:hRule="exact" w:val="567"/>
        </w:trPr>
        <w:tc>
          <w:tcPr>
            <w:tcW w:w="1344" w:type="dxa"/>
            <w:vMerge/>
            <w:vAlign w:val="center"/>
          </w:tcPr>
          <w:p w:rsidR="00845831" w:rsidRDefault="00845831" w:rsidP="00B25467">
            <w:pPr>
              <w:spacing w:before="156" w:after="156" w:line="240" w:lineRule="auto"/>
              <w:ind w:firstLineChars="0" w:firstLine="0"/>
              <w:jc w:val="center"/>
              <w:rPr>
                <w:sz w:val="21"/>
                <w:szCs w:val="21"/>
              </w:rPr>
            </w:pPr>
          </w:p>
        </w:tc>
        <w:tc>
          <w:tcPr>
            <w:tcW w:w="2030" w:type="dxa"/>
            <w:vMerge/>
            <w:vAlign w:val="center"/>
          </w:tcPr>
          <w:p w:rsidR="00845831" w:rsidRDefault="00845831" w:rsidP="00B25467">
            <w:pPr>
              <w:spacing w:before="156" w:after="156" w:line="240" w:lineRule="auto"/>
              <w:ind w:firstLineChars="0" w:firstLine="0"/>
              <w:jc w:val="center"/>
              <w:rPr>
                <w:sz w:val="21"/>
                <w:szCs w:val="21"/>
              </w:rPr>
            </w:pPr>
          </w:p>
        </w:tc>
        <w:tc>
          <w:tcPr>
            <w:tcW w:w="1737"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100</w:t>
            </w:r>
          </w:p>
        </w:tc>
        <w:tc>
          <w:tcPr>
            <w:tcW w:w="162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216.72</w:t>
            </w:r>
          </w:p>
        </w:tc>
        <w:tc>
          <w:tcPr>
            <w:tcW w:w="1786"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96.41</w:t>
            </w:r>
          </w:p>
        </w:tc>
      </w:tr>
      <w:tr w:rsidR="00845831" w:rsidTr="00B25467">
        <w:trPr>
          <w:trHeight w:hRule="exact" w:val="567"/>
        </w:trPr>
        <w:tc>
          <w:tcPr>
            <w:tcW w:w="1344" w:type="dxa"/>
            <w:vMerge w:val="restart"/>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lastRenderedPageBreak/>
              <w:t>16#</w:t>
            </w:r>
          </w:p>
        </w:tc>
        <w:tc>
          <w:tcPr>
            <w:tcW w:w="2030" w:type="dxa"/>
            <w:vMerge w:val="restart"/>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1050.22</w:t>
            </w:r>
          </w:p>
        </w:tc>
        <w:tc>
          <w:tcPr>
            <w:tcW w:w="1737"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10</w:t>
            </w:r>
          </w:p>
        </w:tc>
        <w:tc>
          <w:tcPr>
            <w:tcW w:w="162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1057.83</w:t>
            </w:r>
          </w:p>
        </w:tc>
        <w:tc>
          <w:tcPr>
            <w:tcW w:w="1786"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76.10</w:t>
            </w:r>
          </w:p>
        </w:tc>
      </w:tr>
      <w:tr w:rsidR="00845831" w:rsidTr="00B25467">
        <w:trPr>
          <w:trHeight w:hRule="exact" w:val="567"/>
        </w:trPr>
        <w:tc>
          <w:tcPr>
            <w:tcW w:w="1344" w:type="dxa"/>
            <w:vMerge/>
            <w:vAlign w:val="center"/>
          </w:tcPr>
          <w:p w:rsidR="00845831" w:rsidRDefault="00845831" w:rsidP="00B25467">
            <w:pPr>
              <w:spacing w:before="156" w:after="156" w:line="240" w:lineRule="auto"/>
              <w:ind w:firstLineChars="0" w:firstLine="0"/>
              <w:jc w:val="center"/>
              <w:rPr>
                <w:sz w:val="21"/>
                <w:szCs w:val="21"/>
              </w:rPr>
            </w:pPr>
          </w:p>
        </w:tc>
        <w:tc>
          <w:tcPr>
            <w:tcW w:w="2030" w:type="dxa"/>
            <w:vMerge/>
            <w:vAlign w:val="center"/>
          </w:tcPr>
          <w:p w:rsidR="00845831" w:rsidRDefault="00845831" w:rsidP="00B25467">
            <w:pPr>
              <w:spacing w:before="156" w:after="156" w:line="240" w:lineRule="auto"/>
              <w:ind w:firstLineChars="0" w:firstLine="0"/>
              <w:jc w:val="center"/>
              <w:rPr>
                <w:sz w:val="21"/>
                <w:szCs w:val="21"/>
              </w:rPr>
            </w:pPr>
          </w:p>
        </w:tc>
        <w:tc>
          <w:tcPr>
            <w:tcW w:w="1737"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50</w:t>
            </w:r>
          </w:p>
        </w:tc>
        <w:tc>
          <w:tcPr>
            <w:tcW w:w="162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1092.35</w:t>
            </w:r>
          </w:p>
        </w:tc>
        <w:tc>
          <w:tcPr>
            <w:tcW w:w="1786"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84.26</w:t>
            </w:r>
          </w:p>
        </w:tc>
      </w:tr>
      <w:tr w:rsidR="00845831" w:rsidTr="00B25467">
        <w:trPr>
          <w:trHeight w:hRule="exact" w:val="567"/>
        </w:trPr>
        <w:tc>
          <w:tcPr>
            <w:tcW w:w="1344" w:type="dxa"/>
            <w:vMerge/>
            <w:vAlign w:val="center"/>
          </w:tcPr>
          <w:p w:rsidR="00845831" w:rsidRDefault="00845831" w:rsidP="00B25467">
            <w:pPr>
              <w:spacing w:before="156" w:after="156" w:line="240" w:lineRule="auto"/>
              <w:ind w:firstLineChars="0" w:firstLine="0"/>
              <w:jc w:val="center"/>
              <w:rPr>
                <w:sz w:val="21"/>
                <w:szCs w:val="21"/>
              </w:rPr>
            </w:pPr>
          </w:p>
        </w:tc>
        <w:tc>
          <w:tcPr>
            <w:tcW w:w="2030" w:type="dxa"/>
            <w:vMerge/>
            <w:vAlign w:val="center"/>
          </w:tcPr>
          <w:p w:rsidR="00845831" w:rsidRDefault="00845831" w:rsidP="00B25467">
            <w:pPr>
              <w:spacing w:before="156" w:after="156" w:line="240" w:lineRule="auto"/>
              <w:ind w:firstLineChars="0" w:firstLine="0"/>
              <w:jc w:val="center"/>
              <w:rPr>
                <w:sz w:val="21"/>
                <w:szCs w:val="21"/>
              </w:rPr>
            </w:pPr>
          </w:p>
        </w:tc>
        <w:tc>
          <w:tcPr>
            <w:tcW w:w="1737"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100</w:t>
            </w:r>
          </w:p>
        </w:tc>
        <w:tc>
          <w:tcPr>
            <w:tcW w:w="162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1139.35</w:t>
            </w:r>
          </w:p>
        </w:tc>
        <w:tc>
          <w:tcPr>
            <w:tcW w:w="1786"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89.13</w:t>
            </w:r>
          </w:p>
        </w:tc>
      </w:tr>
      <w:tr w:rsidR="00845831" w:rsidTr="00B25467">
        <w:trPr>
          <w:trHeight w:hRule="exact" w:val="567"/>
        </w:trPr>
        <w:tc>
          <w:tcPr>
            <w:tcW w:w="1344" w:type="dxa"/>
            <w:vMerge w:val="restart"/>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23#</w:t>
            </w:r>
          </w:p>
        </w:tc>
        <w:tc>
          <w:tcPr>
            <w:tcW w:w="2030" w:type="dxa"/>
            <w:vMerge w:val="restart"/>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2140.46</w:t>
            </w:r>
          </w:p>
        </w:tc>
        <w:tc>
          <w:tcPr>
            <w:tcW w:w="1737"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10</w:t>
            </w:r>
          </w:p>
        </w:tc>
        <w:tc>
          <w:tcPr>
            <w:tcW w:w="162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2149.71</w:t>
            </w:r>
          </w:p>
        </w:tc>
        <w:tc>
          <w:tcPr>
            <w:tcW w:w="1786"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92.50</w:t>
            </w:r>
          </w:p>
        </w:tc>
      </w:tr>
      <w:tr w:rsidR="00845831" w:rsidTr="00B25467">
        <w:trPr>
          <w:trHeight w:hRule="exact" w:val="567"/>
        </w:trPr>
        <w:tc>
          <w:tcPr>
            <w:tcW w:w="1344" w:type="dxa"/>
            <w:vMerge/>
            <w:vAlign w:val="center"/>
          </w:tcPr>
          <w:p w:rsidR="00845831" w:rsidRDefault="00845831" w:rsidP="00B25467">
            <w:pPr>
              <w:spacing w:before="156" w:after="156" w:line="240" w:lineRule="auto"/>
              <w:ind w:firstLineChars="0" w:firstLine="0"/>
              <w:jc w:val="center"/>
              <w:rPr>
                <w:sz w:val="21"/>
                <w:szCs w:val="21"/>
              </w:rPr>
            </w:pPr>
          </w:p>
        </w:tc>
        <w:tc>
          <w:tcPr>
            <w:tcW w:w="2030" w:type="dxa"/>
            <w:vMerge/>
            <w:vAlign w:val="center"/>
          </w:tcPr>
          <w:p w:rsidR="00845831" w:rsidRDefault="00845831" w:rsidP="00B25467">
            <w:pPr>
              <w:spacing w:before="156" w:after="156" w:line="240" w:lineRule="auto"/>
              <w:ind w:firstLineChars="0" w:firstLine="0"/>
              <w:jc w:val="center"/>
              <w:rPr>
                <w:sz w:val="21"/>
                <w:szCs w:val="21"/>
              </w:rPr>
            </w:pPr>
          </w:p>
        </w:tc>
        <w:tc>
          <w:tcPr>
            <w:tcW w:w="1737"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50</w:t>
            </w:r>
          </w:p>
        </w:tc>
        <w:tc>
          <w:tcPr>
            <w:tcW w:w="162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2187.18</w:t>
            </w:r>
          </w:p>
        </w:tc>
        <w:tc>
          <w:tcPr>
            <w:tcW w:w="1786"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93.44</w:t>
            </w:r>
          </w:p>
        </w:tc>
      </w:tr>
      <w:tr w:rsidR="00845831" w:rsidTr="00B25467">
        <w:trPr>
          <w:trHeight w:hRule="exact" w:val="567"/>
        </w:trPr>
        <w:tc>
          <w:tcPr>
            <w:tcW w:w="1344" w:type="dxa"/>
            <w:vMerge/>
            <w:vAlign w:val="center"/>
          </w:tcPr>
          <w:p w:rsidR="00845831" w:rsidRDefault="00845831" w:rsidP="00B25467">
            <w:pPr>
              <w:spacing w:before="156" w:after="156" w:line="240" w:lineRule="auto"/>
              <w:ind w:firstLineChars="0" w:firstLine="0"/>
              <w:jc w:val="center"/>
              <w:rPr>
                <w:sz w:val="21"/>
                <w:szCs w:val="21"/>
              </w:rPr>
            </w:pPr>
          </w:p>
        </w:tc>
        <w:tc>
          <w:tcPr>
            <w:tcW w:w="2030" w:type="dxa"/>
            <w:vMerge/>
            <w:vAlign w:val="center"/>
          </w:tcPr>
          <w:p w:rsidR="00845831" w:rsidRDefault="00845831" w:rsidP="00B25467">
            <w:pPr>
              <w:spacing w:before="156" w:after="156" w:line="240" w:lineRule="auto"/>
              <w:ind w:firstLineChars="0" w:firstLine="0"/>
              <w:jc w:val="center"/>
              <w:rPr>
                <w:sz w:val="21"/>
                <w:szCs w:val="21"/>
              </w:rPr>
            </w:pPr>
          </w:p>
        </w:tc>
        <w:tc>
          <w:tcPr>
            <w:tcW w:w="1737"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100</w:t>
            </w:r>
          </w:p>
        </w:tc>
        <w:tc>
          <w:tcPr>
            <w:tcW w:w="162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2253.28</w:t>
            </w:r>
          </w:p>
        </w:tc>
        <w:tc>
          <w:tcPr>
            <w:tcW w:w="1786"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112.82</w:t>
            </w:r>
          </w:p>
        </w:tc>
      </w:tr>
    </w:tbl>
    <w:p w:rsidR="00845831" w:rsidRDefault="00297B50">
      <w:pPr>
        <w:spacing w:before="156" w:after="156"/>
        <w:ind w:firstLine="480"/>
        <w:rPr>
          <w:rFonts w:ascii="Calibri" w:hAnsi="Calibri" w:cs="Calibri"/>
          <w:b/>
          <w:color w:val="000000"/>
        </w:rPr>
      </w:pPr>
      <w:r>
        <w:rPr>
          <w:rFonts w:hint="eastAsia"/>
        </w:rPr>
        <w:t>另外四个样品按实验方法对平行测定六次，测得的相对标准偏差见表</w:t>
      </w:r>
      <w:r>
        <w:rPr>
          <w:rFonts w:hint="eastAsia"/>
        </w:rPr>
        <w:t>6</w:t>
      </w:r>
      <w:r>
        <w:rPr>
          <w:rFonts w:hint="eastAsia"/>
        </w:rPr>
        <w:t>。</w:t>
      </w:r>
      <w:r>
        <w:rPr>
          <w:rFonts w:hint="eastAsia"/>
          <w:color w:val="000000"/>
        </w:rPr>
        <w:t>试验结果表明测定肥料中的</w:t>
      </w:r>
      <w:r>
        <w:rPr>
          <w:rFonts w:hint="eastAsia"/>
          <w:color w:val="000000"/>
          <w:szCs w:val="21"/>
        </w:rPr>
        <w:t>赤霉酸</w:t>
      </w:r>
      <w:r>
        <w:rPr>
          <w:rFonts w:hint="eastAsia"/>
          <w:color w:val="000000"/>
        </w:rPr>
        <w:t>含量的数据稳定，精密度良好</w:t>
      </w:r>
      <w:r>
        <w:rPr>
          <w:rFonts w:ascii="Calibri" w:hAnsi="Calibri" w:cs="Calibri" w:hint="eastAsia"/>
          <w:b/>
          <w:color w:val="000000"/>
        </w:rPr>
        <w:t>。</w:t>
      </w:r>
    </w:p>
    <w:p w:rsidR="00845831" w:rsidRDefault="00297B50">
      <w:pPr>
        <w:spacing w:before="156" w:afterLines="0"/>
        <w:ind w:firstLine="420"/>
        <w:jc w:val="center"/>
        <w:rPr>
          <w:sz w:val="21"/>
          <w:szCs w:val="21"/>
        </w:rPr>
      </w:pPr>
      <w:r>
        <w:rPr>
          <w:rFonts w:hint="eastAsia"/>
          <w:sz w:val="21"/>
          <w:szCs w:val="21"/>
        </w:rPr>
        <w:t>表</w:t>
      </w:r>
      <w:r>
        <w:rPr>
          <w:rFonts w:hint="eastAsia"/>
          <w:sz w:val="21"/>
          <w:szCs w:val="21"/>
        </w:rPr>
        <w:t>6</w:t>
      </w:r>
      <w:r>
        <w:rPr>
          <w:rFonts w:hint="eastAsia"/>
          <w:sz w:val="21"/>
          <w:szCs w:val="21"/>
        </w:rPr>
        <w:t>实际样品的精密度实验</w:t>
      </w:r>
    </w:p>
    <w:tbl>
      <w:tblPr>
        <w:tblStyle w:val="af6"/>
        <w:tblW w:w="7917" w:type="dxa"/>
        <w:jc w:val="center"/>
        <w:tblLayout w:type="fixed"/>
        <w:tblLook w:val="04A0" w:firstRow="1" w:lastRow="0" w:firstColumn="1" w:lastColumn="0" w:noHBand="0" w:noVBand="1"/>
      </w:tblPr>
      <w:tblGrid>
        <w:gridCol w:w="2235"/>
        <w:gridCol w:w="1420"/>
        <w:gridCol w:w="1420"/>
        <w:gridCol w:w="1421"/>
        <w:gridCol w:w="1421"/>
      </w:tblGrid>
      <w:tr w:rsidR="00845831" w:rsidTr="00B25467">
        <w:trPr>
          <w:trHeight w:hRule="exact" w:val="567"/>
          <w:jc w:val="center"/>
        </w:trPr>
        <w:tc>
          <w:tcPr>
            <w:tcW w:w="2235" w:type="dxa"/>
            <w:vAlign w:val="center"/>
          </w:tcPr>
          <w:p w:rsidR="00845831" w:rsidRDefault="00297B50" w:rsidP="00B25467">
            <w:pPr>
              <w:spacing w:before="156" w:after="156" w:line="240" w:lineRule="auto"/>
              <w:ind w:firstLineChars="0" w:firstLine="0"/>
              <w:jc w:val="center"/>
              <w:rPr>
                <w:color w:val="000000"/>
                <w:sz w:val="21"/>
                <w:szCs w:val="21"/>
              </w:rPr>
            </w:pPr>
            <w:r>
              <w:rPr>
                <w:rFonts w:hint="eastAsia"/>
                <w:color w:val="000000"/>
                <w:sz w:val="21"/>
                <w:szCs w:val="21"/>
              </w:rPr>
              <w:t>重复测定次数</w:t>
            </w:r>
          </w:p>
          <w:p w:rsidR="00845831" w:rsidRDefault="00297B50" w:rsidP="00B25467">
            <w:pPr>
              <w:spacing w:before="156" w:after="156" w:line="240" w:lineRule="auto"/>
              <w:ind w:firstLineChars="0" w:firstLine="0"/>
              <w:jc w:val="center"/>
              <w:rPr>
                <w:sz w:val="21"/>
                <w:szCs w:val="21"/>
              </w:rPr>
            </w:pPr>
            <w:r>
              <w:rPr>
                <w:rFonts w:hint="eastAsia"/>
                <w:color w:val="000000"/>
                <w:sz w:val="21"/>
                <w:szCs w:val="21"/>
              </w:rPr>
              <w:t>定次数</w:t>
            </w:r>
          </w:p>
        </w:tc>
        <w:tc>
          <w:tcPr>
            <w:tcW w:w="1420"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6# /</w:t>
            </w:r>
            <w:r w:rsidR="004A33C5">
              <w:rPr>
                <w:rFonts w:hint="eastAsia"/>
                <w:sz w:val="21"/>
                <w:szCs w:val="21"/>
              </w:rPr>
              <w:t>(</w:t>
            </w:r>
            <w:r w:rsidR="004A33C5" w:rsidRPr="004A33C5">
              <w:rPr>
                <w:sz w:val="21"/>
                <w:szCs w:val="21"/>
              </w:rPr>
              <w:t>ng/mL</w:t>
            </w:r>
            <w:r w:rsidR="004A33C5">
              <w:rPr>
                <w:rFonts w:hint="eastAsia"/>
                <w:sz w:val="21"/>
                <w:szCs w:val="21"/>
              </w:rPr>
              <w:t>)</w:t>
            </w:r>
          </w:p>
        </w:tc>
        <w:tc>
          <w:tcPr>
            <w:tcW w:w="1420"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55# /</w:t>
            </w:r>
            <w:r w:rsidR="004A33C5">
              <w:rPr>
                <w:rFonts w:hint="eastAsia"/>
                <w:sz w:val="21"/>
                <w:szCs w:val="21"/>
              </w:rPr>
              <w:t>(</w:t>
            </w:r>
            <w:r w:rsidR="004A33C5" w:rsidRPr="004A33C5">
              <w:rPr>
                <w:sz w:val="21"/>
                <w:szCs w:val="21"/>
              </w:rPr>
              <w:t>ng/mL</w:t>
            </w:r>
            <w:r w:rsidR="004A33C5">
              <w:rPr>
                <w:rFonts w:hint="eastAsia"/>
                <w:sz w:val="21"/>
                <w:szCs w:val="21"/>
              </w:rPr>
              <w:t>)</w:t>
            </w:r>
          </w:p>
        </w:tc>
        <w:tc>
          <w:tcPr>
            <w:tcW w:w="1421"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68# /</w:t>
            </w:r>
            <w:r w:rsidR="004A33C5">
              <w:rPr>
                <w:rFonts w:hint="eastAsia"/>
                <w:sz w:val="21"/>
                <w:szCs w:val="21"/>
              </w:rPr>
              <w:t>(</w:t>
            </w:r>
            <w:r w:rsidR="004A33C5" w:rsidRPr="004A33C5">
              <w:rPr>
                <w:sz w:val="21"/>
                <w:szCs w:val="21"/>
              </w:rPr>
              <w:t>ng/mL</w:t>
            </w:r>
            <w:r w:rsidR="004A33C5">
              <w:rPr>
                <w:rFonts w:hint="eastAsia"/>
                <w:sz w:val="21"/>
                <w:szCs w:val="21"/>
              </w:rPr>
              <w:t>)</w:t>
            </w:r>
          </w:p>
        </w:tc>
        <w:tc>
          <w:tcPr>
            <w:tcW w:w="1421"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71# /</w:t>
            </w:r>
            <w:r w:rsidR="004A33C5">
              <w:rPr>
                <w:rFonts w:hint="eastAsia"/>
                <w:sz w:val="21"/>
                <w:szCs w:val="21"/>
              </w:rPr>
              <w:t>(</w:t>
            </w:r>
            <w:r w:rsidR="004A33C5" w:rsidRPr="004A33C5">
              <w:rPr>
                <w:sz w:val="21"/>
                <w:szCs w:val="21"/>
              </w:rPr>
              <w:t>ng/mL</w:t>
            </w:r>
            <w:r w:rsidR="004A33C5">
              <w:rPr>
                <w:rFonts w:hint="eastAsia"/>
                <w:sz w:val="21"/>
                <w:szCs w:val="21"/>
              </w:rPr>
              <w:t>)</w:t>
            </w:r>
          </w:p>
        </w:tc>
      </w:tr>
      <w:tr w:rsidR="00845831" w:rsidTr="00B25467">
        <w:trPr>
          <w:trHeight w:hRule="exact" w:val="567"/>
          <w:jc w:val="center"/>
        </w:trPr>
        <w:tc>
          <w:tcPr>
            <w:tcW w:w="223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平行</w:t>
            </w:r>
            <w:r>
              <w:rPr>
                <w:rFonts w:hint="eastAsia"/>
                <w:sz w:val="21"/>
                <w:szCs w:val="21"/>
              </w:rPr>
              <w:t>1</w:t>
            </w:r>
          </w:p>
        </w:tc>
        <w:tc>
          <w:tcPr>
            <w:tcW w:w="1420"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9.88</w:t>
            </w:r>
          </w:p>
        </w:tc>
        <w:tc>
          <w:tcPr>
            <w:tcW w:w="1420"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38.16</w:t>
            </w:r>
          </w:p>
        </w:tc>
        <w:tc>
          <w:tcPr>
            <w:tcW w:w="1421"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160.45</w:t>
            </w:r>
          </w:p>
        </w:tc>
        <w:tc>
          <w:tcPr>
            <w:tcW w:w="1421"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459.36</w:t>
            </w:r>
          </w:p>
        </w:tc>
      </w:tr>
      <w:tr w:rsidR="00845831" w:rsidTr="00B25467">
        <w:trPr>
          <w:trHeight w:hRule="exact" w:val="567"/>
          <w:jc w:val="center"/>
        </w:trPr>
        <w:tc>
          <w:tcPr>
            <w:tcW w:w="223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平行</w:t>
            </w:r>
            <w:r>
              <w:rPr>
                <w:rFonts w:hint="eastAsia"/>
                <w:sz w:val="21"/>
                <w:szCs w:val="21"/>
              </w:rPr>
              <w:t>2</w:t>
            </w:r>
          </w:p>
        </w:tc>
        <w:tc>
          <w:tcPr>
            <w:tcW w:w="1420"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8.15</w:t>
            </w:r>
          </w:p>
        </w:tc>
        <w:tc>
          <w:tcPr>
            <w:tcW w:w="1420"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42.12</w:t>
            </w:r>
          </w:p>
        </w:tc>
        <w:tc>
          <w:tcPr>
            <w:tcW w:w="1421"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158.48</w:t>
            </w:r>
          </w:p>
        </w:tc>
        <w:tc>
          <w:tcPr>
            <w:tcW w:w="1421"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447.46</w:t>
            </w:r>
          </w:p>
        </w:tc>
      </w:tr>
      <w:tr w:rsidR="00845831" w:rsidTr="00B25467">
        <w:trPr>
          <w:trHeight w:hRule="exact" w:val="567"/>
          <w:jc w:val="center"/>
        </w:trPr>
        <w:tc>
          <w:tcPr>
            <w:tcW w:w="223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平行</w:t>
            </w:r>
            <w:r>
              <w:rPr>
                <w:rFonts w:hint="eastAsia"/>
                <w:sz w:val="21"/>
                <w:szCs w:val="21"/>
              </w:rPr>
              <w:t>3</w:t>
            </w:r>
          </w:p>
        </w:tc>
        <w:tc>
          <w:tcPr>
            <w:tcW w:w="1420"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8.05</w:t>
            </w:r>
          </w:p>
        </w:tc>
        <w:tc>
          <w:tcPr>
            <w:tcW w:w="1420"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38.96</w:t>
            </w:r>
          </w:p>
        </w:tc>
        <w:tc>
          <w:tcPr>
            <w:tcW w:w="1421"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142.38</w:t>
            </w:r>
          </w:p>
        </w:tc>
        <w:tc>
          <w:tcPr>
            <w:tcW w:w="1421"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454.31</w:t>
            </w:r>
          </w:p>
        </w:tc>
      </w:tr>
      <w:tr w:rsidR="00845831" w:rsidTr="00B25467">
        <w:trPr>
          <w:trHeight w:hRule="exact" w:val="567"/>
          <w:jc w:val="center"/>
        </w:trPr>
        <w:tc>
          <w:tcPr>
            <w:tcW w:w="223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平行</w:t>
            </w:r>
            <w:r>
              <w:rPr>
                <w:rFonts w:hint="eastAsia"/>
                <w:sz w:val="21"/>
                <w:szCs w:val="21"/>
              </w:rPr>
              <w:t>4</w:t>
            </w:r>
          </w:p>
        </w:tc>
        <w:tc>
          <w:tcPr>
            <w:tcW w:w="1420"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9.32</w:t>
            </w:r>
          </w:p>
        </w:tc>
        <w:tc>
          <w:tcPr>
            <w:tcW w:w="1420"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40.55</w:t>
            </w:r>
          </w:p>
        </w:tc>
        <w:tc>
          <w:tcPr>
            <w:tcW w:w="1421"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145.69</w:t>
            </w:r>
          </w:p>
        </w:tc>
        <w:tc>
          <w:tcPr>
            <w:tcW w:w="1421"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439.23</w:t>
            </w:r>
          </w:p>
        </w:tc>
      </w:tr>
      <w:tr w:rsidR="00845831" w:rsidTr="00B25467">
        <w:trPr>
          <w:trHeight w:hRule="exact" w:val="567"/>
          <w:jc w:val="center"/>
        </w:trPr>
        <w:tc>
          <w:tcPr>
            <w:tcW w:w="223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平行</w:t>
            </w:r>
            <w:r>
              <w:rPr>
                <w:rFonts w:hint="eastAsia"/>
                <w:sz w:val="21"/>
                <w:szCs w:val="21"/>
              </w:rPr>
              <w:t>5</w:t>
            </w:r>
          </w:p>
        </w:tc>
        <w:tc>
          <w:tcPr>
            <w:tcW w:w="1420"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9.36</w:t>
            </w:r>
          </w:p>
        </w:tc>
        <w:tc>
          <w:tcPr>
            <w:tcW w:w="1420"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41.69</w:t>
            </w:r>
          </w:p>
        </w:tc>
        <w:tc>
          <w:tcPr>
            <w:tcW w:w="1421"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162.46</w:t>
            </w:r>
          </w:p>
        </w:tc>
        <w:tc>
          <w:tcPr>
            <w:tcW w:w="1421"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439.46</w:t>
            </w:r>
          </w:p>
        </w:tc>
      </w:tr>
      <w:tr w:rsidR="00845831" w:rsidTr="00B25467">
        <w:trPr>
          <w:trHeight w:hRule="exact" w:val="567"/>
          <w:jc w:val="center"/>
        </w:trPr>
        <w:tc>
          <w:tcPr>
            <w:tcW w:w="223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平行</w:t>
            </w:r>
            <w:r>
              <w:rPr>
                <w:rFonts w:hint="eastAsia"/>
                <w:sz w:val="21"/>
                <w:szCs w:val="21"/>
              </w:rPr>
              <w:t>6</w:t>
            </w:r>
          </w:p>
        </w:tc>
        <w:tc>
          <w:tcPr>
            <w:tcW w:w="1420"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7.93</w:t>
            </w:r>
          </w:p>
        </w:tc>
        <w:tc>
          <w:tcPr>
            <w:tcW w:w="1420"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44.45</w:t>
            </w:r>
          </w:p>
        </w:tc>
        <w:tc>
          <w:tcPr>
            <w:tcW w:w="1421"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169.37</w:t>
            </w:r>
          </w:p>
        </w:tc>
        <w:tc>
          <w:tcPr>
            <w:tcW w:w="1421" w:type="dxa"/>
            <w:vAlign w:val="center"/>
          </w:tcPr>
          <w:p w:rsidR="00845831" w:rsidRDefault="00297B50" w:rsidP="00B25467">
            <w:pPr>
              <w:spacing w:before="156" w:after="156" w:line="240" w:lineRule="auto"/>
              <w:ind w:firstLineChars="0" w:firstLine="0"/>
              <w:jc w:val="center"/>
              <w:rPr>
                <w:color w:val="000000"/>
                <w:sz w:val="21"/>
                <w:szCs w:val="21"/>
              </w:rPr>
            </w:pPr>
            <w:r>
              <w:rPr>
                <w:color w:val="000000"/>
                <w:sz w:val="21"/>
                <w:szCs w:val="21"/>
              </w:rPr>
              <w:t>451.56</w:t>
            </w:r>
          </w:p>
        </w:tc>
      </w:tr>
      <w:tr w:rsidR="00845831" w:rsidTr="00B25467">
        <w:trPr>
          <w:trHeight w:hRule="exact" w:val="567"/>
          <w:jc w:val="center"/>
        </w:trPr>
        <w:tc>
          <w:tcPr>
            <w:tcW w:w="2235" w:type="dxa"/>
            <w:vAlign w:val="center"/>
          </w:tcPr>
          <w:p w:rsidR="00845831" w:rsidRDefault="00297B50" w:rsidP="00B25467">
            <w:pPr>
              <w:spacing w:before="156" w:after="156" w:line="240" w:lineRule="auto"/>
              <w:ind w:firstLineChars="0" w:firstLine="0"/>
              <w:jc w:val="center"/>
              <w:rPr>
                <w:sz w:val="21"/>
                <w:szCs w:val="21"/>
              </w:rPr>
            </w:pPr>
            <w:r>
              <w:rPr>
                <w:rFonts w:hint="eastAsia"/>
                <w:sz w:val="21"/>
                <w:szCs w:val="21"/>
              </w:rPr>
              <w:t>平均值</w:t>
            </w:r>
          </w:p>
        </w:tc>
        <w:tc>
          <w:tcPr>
            <w:tcW w:w="1420" w:type="dxa"/>
            <w:vAlign w:val="center"/>
          </w:tcPr>
          <w:p w:rsidR="00845831" w:rsidRDefault="00297B50" w:rsidP="00B25467">
            <w:pPr>
              <w:spacing w:before="156" w:after="156" w:line="240" w:lineRule="auto"/>
              <w:ind w:firstLineChars="0" w:firstLine="0"/>
              <w:jc w:val="center"/>
              <w:rPr>
                <w:color w:val="000000"/>
                <w:sz w:val="21"/>
                <w:szCs w:val="21"/>
              </w:rPr>
            </w:pPr>
            <w:r>
              <w:rPr>
                <w:rFonts w:hint="eastAsia"/>
                <w:color w:val="000000"/>
                <w:sz w:val="21"/>
                <w:szCs w:val="21"/>
              </w:rPr>
              <w:t>8.78</w:t>
            </w:r>
          </w:p>
        </w:tc>
        <w:tc>
          <w:tcPr>
            <w:tcW w:w="1420" w:type="dxa"/>
            <w:vAlign w:val="center"/>
          </w:tcPr>
          <w:p w:rsidR="00845831" w:rsidRDefault="00297B50" w:rsidP="00B25467">
            <w:pPr>
              <w:spacing w:before="156" w:after="156" w:line="240" w:lineRule="auto"/>
              <w:ind w:firstLineChars="0" w:firstLine="0"/>
              <w:jc w:val="center"/>
              <w:rPr>
                <w:color w:val="000000"/>
                <w:sz w:val="21"/>
                <w:szCs w:val="21"/>
              </w:rPr>
            </w:pPr>
            <w:r>
              <w:rPr>
                <w:rFonts w:hint="eastAsia"/>
                <w:color w:val="000000"/>
                <w:sz w:val="21"/>
                <w:szCs w:val="21"/>
              </w:rPr>
              <w:t>40.99</w:t>
            </w:r>
          </w:p>
        </w:tc>
        <w:tc>
          <w:tcPr>
            <w:tcW w:w="1421" w:type="dxa"/>
            <w:vAlign w:val="center"/>
          </w:tcPr>
          <w:p w:rsidR="00845831" w:rsidRDefault="00297B50" w:rsidP="00B25467">
            <w:pPr>
              <w:spacing w:before="156" w:after="156" w:line="240" w:lineRule="auto"/>
              <w:ind w:firstLineChars="0" w:firstLine="0"/>
              <w:jc w:val="center"/>
              <w:rPr>
                <w:color w:val="000000"/>
                <w:sz w:val="21"/>
                <w:szCs w:val="21"/>
              </w:rPr>
            </w:pPr>
            <w:r>
              <w:rPr>
                <w:rFonts w:hint="eastAsia"/>
                <w:color w:val="000000"/>
                <w:sz w:val="21"/>
                <w:szCs w:val="21"/>
              </w:rPr>
              <w:t>156.47</w:t>
            </w:r>
          </w:p>
        </w:tc>
        <w:tc>
          <w:tcPr>
            <w:tcW w:w="1421" w:type="dxa"/>
            <w:vAlign w:val="center"/>
          </w:tcPr>
          <w:p w:rsidR="00845831" w:rsidRDefault="00297B50" w:rsidP="00B25467">
            <w:pPr>
              <w:spacing w:before="156" w:after="156" w:line="240" w:lineRule="auto"/>
              <w:ind w:firstLineChars="0" w:firstLine="0"/>
              <w:jc w:val="center"/>
              <w:rPr>
                <w:color w:val="000000"/>
                <w:sz w:val="21"/>
                <w:szCs w:val="21"/>
              </w:rPr>
            </w:pPr>
            <w:r>
              <w:rPr>
                <w:rFonts w:hint="eastAsia"/>
                <w:color w:val="000000"/>
                <w:sz w:val="21"/>
                <w:szCs w:val="21"/>
              </w:rPr>
              <w:t>448.56</w:t>
            </w:r>
          </w:p>
        </w:tc>
      </w:tr>
      <w:tr w:rsidR="00845831" w:rsidTr="00B25467">
        <w:trPr>
          <w:trHeight w:hRule="exact" w:val="567"/>
          <w:jc w:val="center"/>
        </w:trPr>
        <w:tc>
          <w:tcPr>
            <w:tcW w:w="2235" w:type="dxa"/>
            <w:vAlign w:val="center"/>
          </w:tcPr>
          <w:p w:rsidR="00845831" w:rsidRDefault="00297B50" w:rsidP="00B25467">
            <w:pPr>
              <w:spacing w:before="156" w:after="156" w:line="240" w:lineRule="auto"/>
              <w:ind w:firstLineChars="0" w:firstLine="0"/>
              <w:jc w:val="center"/>
              <w:rPr>
                <w:color w:val="000000"/>
                <w:sz w:val="21"/>
                <w:szCs w:val="21"/>
              </w:rPr>
            </w:pPr>
            <w:r>
              <w:rPr>
                <w:rFonts w:hint="eastAsia"/>
                <w:color w:val="000000"/>
                <w:sz w:val="21"/>
                <w:szCs w:val="21"/>
              </w:rPr>
              <w:t>标准偏差（</w:t>
            </w:r>
            <w:r>
              <w:rPr>
                <w:rFonts w:hint="eastAsia"/>
                <w:color w:val="000000"/>
                <w:sz w:val="21"/>
                <w:szCs w:val="21"/>
              </w:rPr>
              <w:t>%</w:t>
            </w:r>
            <w:r>
              <w:rPr>
                <w:rFonts w:hint="eastAsia"/>
                <w:color w:val="000000"/>
                <w:sz w:val="21"/>
                <w:szCs w:val="21"/>
              </w:rPr>
              <w:t>）</w:t>
            </w:r>
          </w:p>
        </w:tc>
        <w:tc>
          <w:tcPr>
            <w:tcW w:w="1420" w:type="dxa"/>
            <w:vAlign w:val="center"/>
          </w:tcPr>
          <w:p w:rsidR="00845831" w:rsidRDefault="00297B50" w:rsidP="00B25467">
            <w:pPr>
              <w:spacing w:before="156" w:after="156" w:line="240" w:lineRule="auto"/>
              <w:ind w:firstLineChars="0" w:firstLine="0"/>
              <w:jc w:val="center"/>
              <w:rPr>
                <w:rFonts w:ascii="宋体" w:hAnsi="宋体" w:cs="宋体"/>
                <w:color w:val="000000"/>
                <w:sz w:val="21"/>
                <w:szCs w:val="21"/>
              </w:rPr>
            </w:pPr>
            <w:r>
              <w:rPr>
                <w:rFonts w:hint="eastAsia"/>
                <w:color w:val="000000"/>
                <w:sz w:val="21"/>
                <w:szCs w:val="21"/>
              </w:rPr>
              <w:t>0.835</w:t>
            </w:r>
          </w:p>
        </w:tc>
        <w:tc>
          <w:tcPr>
            <w:tcW w:w="1420" w:type="dxa"/>
            <w:vAlign w:val="center"/>
          </w:tcPr>
          <w:p w:rsidR="00845831" w:rsidRDefault="00297B50" w:rsidP="00B25467">
            <w:pPr>
              <w:spacing w:before="156" w:after="156" w:line="240" w:lineRule="auto"/>
              <w:ind w:firstLineChars="0" w:firstLine="0"/>
              <w:jc w:val="center"/>
              <w:rPr>
                <w:rFonts w:ascii="宋体" w:hAnsi="宋体" w:cs="宋体"/>
                <w:color w:val="000000"/>
                <w:sz w:val="21"/>
                <w:szCs w:val="21"/>
              </w:rPr>
            </w:pPr>
            <w:r>
              <w:rPr>
                <w:rFonts w:hint="eastAsia"/>
                <w:color w:val="000000"/>
                <w:sz w:val="21"/>
                <w:szCs w:val="21"/>
              </w:rPr>
              <w:t>2.283</w:t>
            </w:r>
          </w:p>
        </w:tc>
        <w:tc>
          <w:tcPr>
            <w:tcW w:w="1421" w:type="dxa"/>
            <w:vAlign w:val="center"/>
          </w:tcPr>
          <w:p w:rsidR="00845831" w:rsidRDefault="00297B50" w:rsidP="00B25467">
            <w:pPr>
              <w:spacing w:before="156" w:after="156" w:line="240" w:lineRule="auto"/>
              <w:ind w:firstLineChars="0" w:firstLine="0"/>
              <w:jc w:val="center"/>
              <w:rPr>
                <w:rFonts w:ascii="宋体" w:hAnsi="宋体" w:cs="宋体"/>
                <w:color w:val="000000"/>
                <w:sz w:val="21"/>
                <w:szCs w:val="21"/>
              </w:rPr>
            </w:pPr>
            <w:r>
              <w:rPr>
                <w:rFonts w:hint="eastAsia"/>
                <w:color w:val="000000"/>
                <w:sz w:val="21"/>
                <w:szCs w:val="21"/>
              </w:rPr>
              <w:t>10.362</w:t>
            </w:r>
          </w:p>
        </w:tc>
        <w:tc>
          <w:tcPr>
            <w:tcW w:w="1421" w:type="dxa"/>
            <w:vAlign w:val="center"/>
          </w:tcPr>
          <w:p w:rsidR="00845831" w:rsidRDefault="00297B50" w:rsidP="00B25467">
            <w:pPr>
              <w:spacing w:before="156" w:after="156" w:line="240" w:lineRule="auto"/>
              <w:ind w:firstLineChars="0" w:firstLine="0"/>
              <w:jc w:val="center"/>
              <w:rPr>
                <w:rFonts w:ascii="宋体" w:hAnsi="宋体" w:cs="宋体"/>
                <w:color w:val="000000"/>
                <w:sz w:val="21"/>
                <w:szCs w:val="21"/>
              </w:rPr>
            </w:pPr>
            <w:r>
              <w:rPr>
                <w:rFonts w:hint="eastAsia"/>
                <w:color w:val="000000"/>
                <w:sz w:val="21"/>
                <w:szCs w:val="21"/>
              </w:rPr>
              <w:t>8.121</w:t>
            </w:r>
          </w:p>
        </w:tc>
      </w:tr>
      <w:tr w:rsidR="00845831" w:rsidTr="00B25467">
        <w:trPr>
          <w:trHeight w:hRule="exact" w:val="567"/>
          <w:jc w:val="center"/>
        </w:trPr>
        <w:tc>
          <w:tcPr>
            <w:tcW w:w="2235" w:type="dxa"/>
            <w:vAlign w:val="center"/>
          </w:tcPr>
          <w:p w:rsidR="00845831" w:rsidRDefault="00297B50" w:rsidP="00B25467">
            <w:pPr>
              <w:spacing w:before="156" w:after="156" w:line="240" w:lineRule="auto"/>
              <w:ind w:firstLineChars="0" w:firstLine="0"/>
              <w:jc w:val="center"/>
              <w:rPr>
                <w:color w:val="000000"/>
                <w:sz w:val="21"/>
                <w:szCs w:val="21"/>
              </w:rPr>
            </w:pPr>
            <w:r>
              <w:rPr>
                <w:rFonts w:hint="eastAsia"/>
                <w:color w:val="000000"/>
                <w:sz w:val="21"/>
                <w:szCs w:val="21"/>
              </w:rPr>
              <w:t>相对标准偏差（</w:t>
            </w:r>
            <w:r>
              <w:rPr>
                <w:rFonts w:hint="eastAsia"/>
                <w:color w:val="000000"/>
                <w:sz w:val="21"/>
                <w:szCs w:val="21"/>
              </w:rPr>
              <w:t>%</w:t>
            </w:r>
            <w:r>
              <w:rPr>
                <w:rFonts w:hint="eastAsia"/>
                <w:color w:val="000000"/>
                <w:sz w:val="21"/>
                <w:szCs w:val="21"/>
              </w:rPr>
              <w:t>）</w:t>
            </w:r>
          </w:p>
        </w:tc>
        <w:tc>
          <w:tcPr>
            <w:tcW w:w="1420" w:type="dxa"/>
            <w:vAlign w:val="center"/>
          </w:tcPr>
          <w:p w:rsidR="00845831" w:rsidRDefault="00297B50" w:rsidP="00B25467">
            <w:pPr>
              <w:spacing w:before="156" w:after="156" w:line="240" w:lineRule="auto"/>
              <w:ind w:firstLineChars="0" w:firstLine="0"/>
              <w:jc w:val="center"/>
              <w:rPr>
                <w:color w:val="000000"/>
                <w:sz w:val="21"/>
                <w:szCs w:val="21"/>
              </w:rPr>
            </w:pPr>
            <w:r>
              <w:rPr>
                <w:rFonts w:hint="eastAsia"/>
                <w:color w:val="000000"/>
                <w:sz w:val="21"/>
                <w:szCs w:val="21"/>
              </w:rPr>
              <w:t>9.51</w:t>
            </w:r>
          </w:p>
        </w:tc>
        <w:tc>
          <w:tcPr>
            <w:tcW w:w="1420" w:type="dxa"/>
            <w:vAlign w:val="center"/>
          </w:tcPr>
          <w:p w:rsidR="00845831" w:rsidRDefault="00297B50" w:rsidP="00B25467">
            <w:pPr>
              <w:spacing w:before="156" w:after="156" w:line="240" w:lineRule="auto"/>
              <w:ind w:firstLineChars="0" w:firstLine="0"/>
              <w:jc w:val="center"/>
              <w:rPr>
                <w:color w:val="000000"/>
                <w:sz w:val="21"/>
                <w:szCs w:val="21"/>
              </w:rPr>
            </w:pPr>
            <w:r>
              <w:rPr>
                <w:rFonts w:hint="eastAsia"/>
                <w:color w:val="000000"/>
                <w:sz w:val="21"/>
                <w:szCs w:val="21"/>
              </w:rPr>
              <w:t>5.57</w:t>
            </w:r>
          </w:p>
        </w:tc>
        <w:tc>
          <w:tcPr>
            <w:tcW w:w="1421" w:type="dxa"/>
            <w:vAlign w:val="center"/>
          </w:tcPr>
          <w:p w:rsidR="00845831" w:rsidRDefault="00297B50" w:rsidP="00B25467">
            <w:pPr>
              <w:spacing w:before="156" w:after="156" w:line="240" w:lineRule="auto"/>
              <w:ind w:firstLineChars="0" w:firstLine="0"/>
              <w:jc w:val="center"/>
              <w:rPr>
                <w:color w:val="000000"/>
                <w:sz w:val="21"/>
                <w:szCs w:val="21"/>
              </w:rPr>
            </w:pPr>
            <w:r>
              <w:rPr>
                <w:rFonts w:hint="eastAsia"/>
                <w:color w:val="000000"/>
                <w:sz w:val="21"/>
                <w:szCs w:val="21"/>
              </w:rPr>
              <w:t>6.62</w:t>
            </w:r>
          </w:p>
        </w:tc>
        <w:tc>
          <w:tcPr>
            <w:tcW w:w="1421" w:type="dxa"/>
            <w:vAlign w:val="center"/>
          </w:tcPr>
          <w:p w:rsidR="00845831" w:rsidRDefault="00297B50" w:rsidP="00B25467">
            <w:pPr>
              <w:spacing w:before="156" w:after="156" w:line="240" w:lineRule="auto"/>
              <w:ind w:firstLineChars="0" w:firstLine="0"/>
              <w:jc w:val="center"/>
              <w:rPr>
                <w:color w:val="000000"/>
                <w:sz w:val="21"/>
                <w:szCs w:val="21"/>
              </w:rPr>
            </w:pPr>
            <w:r>
              <w:rPr>
                <w:rFonts w:hint="eastAsia"/>
                <w:color w:val="000000"/>
                <w:sz w:val="21"/>
                <w:szCs w:val="21"/>
              </w:rPr>
              <w:t>1.81</w:t>
            </w:r>
          </w:p>
        </w:tc>
      </w:tr>
    </w:tbl>
    <w:p w:rsidR="008517A3" w:rsidRDefault="008517A3">
      <w:pPr>
        <w:pStyle w:val="2"/>
        <w:spacing w:before="156" w:after="156"/>
      </w:pPr>
      <w:r>
        <w:rPr>
          <w:rFonts w:hint="eastAsia"/>
        </w:rPr>
        <w:t>7</w:t>
      </w:r>
      <w:r>
        <w:rPr>
          <w:rFonts w:hint="eastAsia"/>
        </w:rPr>
        <w:t>稳定性实验</w:t>
      </w:r>
    </w:p>
    <w:p w:rsidR="008517A3" w:rsidRDefault="008517A3" w:rsidP="008517A3">
      <w:pPr>
        <w:spacing w:before="156" w:after="156"/>
        <w:ind w:firstLine="480"/>
      </w:pPr>
      <w:r>
        <w:rPr>
          <w:rFonts w:hint="eastAsia"/>
        </w:rPr>
        <w:t>稳定性实验能够反映实验的准确性。分别选取样品处理完毕、样品放置</w:t>
      </w:r>
      <w:r>
        <w:rPr>
          <w:rFonts w:hint="eastAsia"/>
        </w:rPr>
        <w:t>3</w:t>
      </w:r>
      <w:r>
        <w:rPr>
          <w:rFonts w:hint="eastAsia"/>
        </w:rPr>
        <w:t>天、样品放置</w:t>
      </w:r>
      <w:r>
        <w:rPr>
          <w:rFonts w:hint="eastAsia"/>
        </w:rPr>
        <w:t>7</w:t>
      </w:r>
      <w:r>
        <w:rPr>
          <w:rFonts w:hint="eastAsia"/>
        </w:rPr>
        <w:t>天三个时间段来进行测定。实验数据见表</w:t>
      </w:r>
      <w:r w:rsidR="00F51F7C">
        <w:rPr>
          <w:rFonts w:hint="eastAsia"/>
        </w:rPr>
        <w:t>8</w:t>
      </w:r>
      <w:r>
        <w:rPr>
          <w:rFonts w:hint="eastAsia"/>
        </w:rPr>
        <w:t>。</w:t>
      </w:r>
    </w:p>
    <w:p w:rsidR="008517A3" w:rsidRDefault="008517A3" w:rsidP="008517A3">
      <w:pPr>
        <w:spacing w:before="156" w:afterLines="0"/>
        <w:ind w:firstLine="420"/>
        <w:jc w:val="center"/>
        <w:rPr>
          <w:sz w:val="21"/>
          <w:szCs w:val="21"/>
        </w:rPr>
      </w:pPr>
      <w:r w:rsidRPr="00F13F12">
        <w:rPr>
          <w:rFonts w:hint="eastAsia"/>
          <w:sz w:val="21"/>
          <w:szCs w:val="21"/>
        </w:rPr>
        <w:t>表</w:t>
      </w:r>
      <w:r>
        <w:rPr>
          <w:rFonts w:hint="eastAsia"/>
          <w:sz w:val="21"/>
          <w:szCs w:val="21"/>
        </w:rPr>
        <w:t>8</w:t>
      </w:r>
      <w:r w:rsidR="001B333C">
        <w:rPr>
          <w:rFonts w:hint="eastAsia"/>
          <w:sz w:val="21"/>
          <w:szCs w:val="21"/>
        </w:rPr>
        <w:t xml:space="preserve"> </w:t>
      </w:r>
      <w:r>
        <w:rPr>
          <w:rFonts w:hint="eastAsia"/>
          <w:sz w:val="21"/>
          <w:szCs w:val="21"/>
        </w:rPr>
        <w:t>样品</w:t>
      </w:r>
      <w:r w:rsidR="005E3389">
        <w:rPr>
          <w:rFonts w:hint="eastAsia"/>
          <w:sz w:val="21"/>
          <w:szCs w:val="21"/>
        </w:rPr>
        <w:t>放置</w:t>
      </w:r>
      <w:r w:rsidR="005E3389">
        <w:rPr>
          <w:rFonts w:hint="eastAsia"/>
          <w:sz w:val="21"/>
          <w:szCs w:val="21"/>
        </w:rPr>
        <w:t>3</w:t>
      </w:r>
      <w:r w:rsidR="005E3389">
        <w:rPr>
          <w:rFonts w:hint="eastAsia"/>
          <w:sz w:val="21"/>
          <w:szCs w:val="21"/>
        </w:rPr>
        <w:t>天后</w:t>
      </w:r>
      <w:r>
        <w:rPr>
          <w:rFonts w:hint="eastAsia"/>
          <w:sz w:val="21"/>
          <w:szCs w:val="21"/>
        </w:rPr>
        <w:t>加标回收率实验</w:t>
      </w:r>
    </w:p>
    <w:tbl>
      <w:tblPr>
        <w:tblStyle w:val="af6"/>
        <w:tblW w:w="7655" w:type="dxa"/>
        <w:tblInd w:w="250" w:type="dxa"/>
        <w:tblLayout w:type="fixed"/>
        <w:tblLook w:val="04A0" w:firstRow="1" w:lastRow="0" w:firstColumn="1" w:lastColumn="0" w:noHBand="0" w:noVBand="1"/>
      </w:tblPr>
      <w:tblGrid>
        <w:gridCol w:w="992"/>
        <w:gridCol w:w="2221"/>
        <w:gridCol w:w="2221"/>
        <w:gridCol w:w="2221"/>
      </w:tblGrid>
      <w:tr w:rsidR="00F51F7C" w:rsidTr="00F51F7C">
        <w:trPr>
          <w:trHeight w:hRule="exact" w:val="1144"/>
        </w:trPr>
        <w:tc>
          <w:tcPr>
            <w:tcW w:w="992" w:type="dxa"/>
            <w:vAlign w:val="center"/>
          </w:tcPr>
          <w:p w:rsidR="00F51F7C" w:rsidRDefault="00F51F7C" w:rsidP="00F51F7C">
            <w:pPr>
              <w:spacing w:before="156" w:after="156" w:line="240" w:lineRule="auto"/>
              <w:ind w:firstLineChars="0" w:firstLine="0"/>
              <w:jc w:val="center"/>
              <w:rPr>
                <w:sz w:val="21"/>
                <w:szCs w:val="21"/>
              </w:rPr>
            </w:pPr>
            <w:r>
              <w:rPr>
                <w:rFonts w:hint="eastAsia"/>
                <w:sz w:val="21"/>
                <w:szCs w:val="21"/>
              </w:rPr>
              <w:lastRenderedPageBreak/>
              <w:t>样品号</w:t>
            </w:r>
          </w:p>
        </w:tc>
        <w:tc>
          <w:tcPr>
            <w:tcW w:w="2221" w:type="dxa"/>
            <w:vAlign w:val="center"/>
          </w:tcPr>
          <w:p w:rsidR="00F51F7C" w:rsidRDefault="00F51F7C" w:rsidP="00F51F7C">
            <w:pPr>
              <w:spacing w:before="156" w:after="156" w:line="240" w:lineRule="auto"/>
              <w:ind w:firstLineChars="0" w:firstLine="0"/>
              <w:jc w:val="center"/>
              <w:rPr>
                <w:sz w:val="21"/>
                <w:szCs w:val="21"/>
              </w:rPr>
            </w:pPr>
            <w:r>
              <w:rPr>
                <w:rFonts w:hint="eastAsia"/>
                <w:sz w:val="21"/>
                <w:szCs w:val="21"/>
              </w:rPr>
              <w:t>预处理后赤霉酸的含量</w:t>
            </w:r>
            <w:r>
              <w:rPr>
                <w:rFonts w:hint="eastAsia"/>
                <w:sz w:val="21"/>
                <w:szCs w:val="21"/>
              </w:rPr>
              <w:t>/ (mg/kg)</w:t>
            </w:r>
          </w:p>
        </w:tc>
        <w:tc>
          <w:tcPr>
            <w:tcW w:w="2221" w:type="dxa"/>
            <w:vAlign w:val="center"/>
          </w:tcPr>
          <w:p w:rsidR="00F51F7C" w:rsidRDefault="00F51F7C" w:rsidP="00F51F7C">
            <w:pPr>
              <w:spacing w:before="156" w:after="156" w:line="240" w:lineRule="auto"/>
              <w:ind w:firstLineChars="0" w:firstLine="0"/>
              <w:jc w:val="center"/>
              <w:rPr>
                <w:sz w:val="21"/>
                <w:szCs w:val="21"/>
              </w:rPr>
            </w:pPr>
            <w:r>
              <w:rPr>
                <w:rFonts w:hint="eastAsia"/>
                <w:sz w:val="21"/>
                <w:szCs w:val="21"/>
              </w:rPr>
              <w:t>放置</w:t>
            </w:r>
            <w:r>
              <w:rPr>
                <w:rFonts w:hint="eastAsia"/>
                <w:sz w:val="21"/>
                <w:szCs w:val="21"/>
              </w:rPr>
              <w:t>3</w:t>
            </w:r>
            <w:r>
              <w:rPr>
                <w:rFonts w:hint="eastAsia"/>
                <w:sz w:val="21"/>
                <w:szCs w:val="21"/>
              </w:rPr>
              <w:t>天后赤霉酸的含量</w:t>
            </w:r>
            <w:r>
              <w:rPr>
                <w:rFonts w:hint="eastAsia"/>
                <w:sz w:val="21"/>
                <w:szCs w:val="21"/>
              </w:rPr>
              <w:t>/(mg/kg)</w:t>
            </w:r>
          </w:p>
        </w:tc>
        <w:tc>
          <w:tcPr>
            <w:tcW w:w="2221" w:type="dxa"/>
            <w:vAlign w:val="center"/>
          </w:tcPr>
          <w:p w:rsidR="00F51F7C" w:rsidRDefault="00F51F7C" w:rsidP="00F51F7C">
            <w:pPr>
              <w:spacing w:before="156" w:after="156" w:line="240" w:lineRule="auto"/>
              <w:ind w:firstLineChars="0" w:firstLine="0"/>
              <w:jc w:val="center"/>
              <w:rPr>
                <w:sz w:val="21"/>
                <w:szCs w:val="21"/>
              </w:rPr>
            </w:pPr>
            <w:r>
              <w:rPr>
                <w:rFonts w:hint="eastAsia"/>
                <w:sz w:val="21"/>
                <w:szCs w:val="21"/>
              </w:rPr>
              <w:t>放置</w:t>
            </w:r>
            <w:r>
              <w:rPr>
                <w:rFonts w:hint="eastAsia"/>
                <w:sz w:val="21"/>
                <w:szCs w:val="21"/>
              </w:rPr>
              <w:t>7</w:t>
            </w:r>
            <w:r>
              <w:rPr>
                <w:rFonts w:hint="eastAsia"/>
                <w:sz w:val="21"/>
                <w:szCs w:val="21"/>
              </w:rPr>
              <w:t>天后赤霉酸的含量</w:t>
            </w:r>
            <w:r>
              <w:rPr>
                <w:rFonts w:hint="eastAsia"/>
                <w:sz w:val="21"/>
                <w:szCs w:val="21"/>
              </w:rPr>
              <w:t>/ (mg/kg)</w:t>
            </w:r>
          </w:p>
        </w:tc>
      </w:tr>
      <w:tr w:rsidR="00F51F7C" w:rsidTr="00F51F7C">
        <w:trPr>
          <w:trHeight w:hRule="exact" w:val="567"/>
        </w:trPr>
        <w:tc>
          <w:tcPr>
            <w:tcW w:w="992" w:type="dxa"/>
            <w:vAlign w:val="center"/>
          </w:tcPr>
          <w:p w:rsidR="00F51F7C" w:rsidRDefault="00F51F7C" w:rsidP="00F51F7C">
            <w:pPr>
              <w:spacing w:before="156" w:after="156" w:line="240" w:lineRule="auto"/>
              <w:ind w:firstLineChars="0" w:firstLine="0"/>
              <w:jc w:val="center"/>
            </w:pPr>
            <w:r>
              <w:rPr>
                <w:rFonts w:hint="eastAsia"/>
              </w:rPr>
              <w:t>A2</w:t>
            </w:r>
          </w:p>
        </w:tc>
        <w:tc>
          <w:tcPr>
            <w:tcW w:w="2221" w:type="dxa"/>
            <w:vAlign w:val="center"/>
          </w:tcPr>
          <w:p w:rsidR="00F51F7C" w:rsidRDefault="00F51F7C" w:rsidP="00A031E2">
            <w:pPr>
              <w:spacing w:before="156" w:after="156" w:line="240" w:lineRule="auto"/>
              <w:ind w:firstLineChars="0" w:firstLine="0"/>
              <w:jc w:val="center"/>
            </w:pPr>
            <w:r>
              <w:rPr>
                <w:rFonts w:hint="eastAsia"/>
              </w:rPr>
              <w:t>0.00</w:t>
            </w:r>
            <w:r w:rsidR="00354A9D">
              <w:rPr>
                <w:rFonts w:hint="eastAsia"/>
              </w:rPr>
              <w:t>0</w:t>
            </w:r>
          </w:p>
        </w:tc>
        <w:tc>
          <w:tcPr>
            <w:tcW w:w="2221" w:type="dxa"/>
            <w:vAlign w:val="center"/>
          </w:tcPr>
          <w:p w:rsidR="00F51F7C" w:rsidRDefault="00404034" w:rsidP="00A031E2">
            <w:pPr>
              <w:spacing w:before="156" w:after="156" w:line="240" w:lineRule="auto"/>
              <w:ind w:firstLineChars="0" w:firstLine="0"/>
              <w:jc w:val="center"/>
            </w:pPr>
            <w:r>
              <w:rPr>
                <w:rFonts w:hint="eastAsia"/>
              </w:rPr>
              <w:t>0.00</w:t>
            </w:r>
            <w:r w:rsidR="00354A9D">
              <w:rPr>
                <w:rFonts w:hint="eastAsia"/>
              </w:rPr>
              <w:t>0</w:t>
            </w:r>
          </w:p>
        </w:tc>
        <w:tc>
          <w:tcPr>
            <w:tcW w:w="2221" w:type="dxa"/>
            <w:vAlign w:val="center"/>
          </w:tcPr>
          <w:p w:rsidR="00F51F7C" w:rsidRDefault="00404034" w:rsidP="008517A3">
            <w:pPr>
              <w:spacing w:before="156" w:after="156" w:line="240" w:lineRule="auto"/>
              <w:ind w:firstLineChars="0" w:firstLine="0"/>
              <w:jc w:val="center"/>
            </w:pPr>
            <w:r>
              <w:rPr>
                <w:rFonts w:hint="eastAsia"/>
              </w:rPr>
              <w:t>0.00</w:t>
            </w:r>
            <w:r w:rsidR="00354A9D">
              <w:rPr>
                <w:rFonts w:hint="eastAsia"/>
              </w:rPr>
              <w:t>0</w:t>
            </w:r>
          </w:p>
        </w:tc>
      </w:tr>
      <w:tr w:rsidR="00F51F7C" w:rsidTr="00F51F7C">
        <w:trPr>
          <w:trHeight w:hRule="exact" w:val="567"/>
        </w:trPr>
        <w:tc>
          <w:tcPr>
            <w:tcW w:w="992" w:type="dxa"/>
            <w:vAlign w:val="center"/>
          </w:tcPr>
          <w:p w:rsidR="00F51F7C" w:rsidRDefault="00F51F7C" w:rsidP="00F51F7C">
            <w:pPr>
              <w:spacing w:before="156" w:after="156" w:line="240" w:lineRule="auto"/>
              <w:ind w:firstLineChars="0" w:firstLine="0"/>
              <w:jc w:val="center"/>
            </w:pPr>
            <w:r>
              <w:rPr>
                <w:rFonts w:hint="eastAsia"/>
              </w:rPr>
              <w:t>A3</w:t>
            </w:r>
          </w:p>
        </w:tc>
        <w:tc>
          <w:tcPr>
            <w:tcW w:w="2221" w:type="dxa"/>
            <w:vAlign w:val="center"/>
          </w:tcPr>
          <w:p w:rsidR="00F51F7C" w:rsidRDefault="00F51F7C" w:rsidP="008517A3">
            <w:pPr>
              <w:spacing w:before="156" w:after="156" w:line="240" w:lineRule="auto"/>
              <w:ind w:firstLineChars="0" w:firstLine="0"/>
              <w:jc w:val="center"/>
            </w:pPr>
            <w:r>
              <w:rPr>
                <w:rFonts w:hint="eastAsia"/>
              </w:rPr>
              <w:t>0.10</w:t>
            </w:r>
            <w:r w:rsidR="00404034">
              <w:rPr>
                <w:rFonts w:hint="eastAsia"/>
              </w:rPr>
              <w:t>2</w:t>
            </w:r>
          </w:p>
        </w:tc>
        <w:tc>
          <w:tcPr>
            <w:tcW w:w="2221" w:type="dxa"/>
            <w:vAlign w:val="center"/>
          </w:tcPr>
          <w:p w:rsidR="00F51F7C" w:rsidRDefault="00404034" w:rsidP="00404034">
            <w:pPr>
              <w:spacing w:before="156" w:after="156" w:line="240" w:lineRule="auto"/>
              <w:ind w:firstLineChars="0" w:firstLine="0"/>
              <w:jc w:val="center"/>
            </w:pPr>
            <w:r>
              <w:rPr>
                <w:rFonts w:hint="eastAsia"/>
              </w:rPr>
              <w:t>0.102</w:t>
            </w:r>
          </w:p>
        </w:tc>
        <w:tc>
          <w:tcPr>
            <w:tcW w:w="2221" w:type="dxa"/>
            <w:vAlign w:val="center"/>
          </w:tcPr>
          <w:p w:rsidR="00F51F7C" w:rsidRDefault="00404034" w:rsidP="00404034">
            <w:pPr>
              <w:spacing w:before="156" w:after="156" w:line="240" w:lineRule="auto"/>
              <w:ind w:firstLineChars="0" w:firstLine="0"/>
              <w:jc w:val="center"/>
            </w:pPr>
            <w:r>
              <w:rPr>
                <w:rFonts w:hint="eastAsia"/>
              </w:rPr>
              <w:t>0.100</w:t>
            </w:r>
          </w:p>
        </w:tc>
      </w:tr>
      <w:tr w:rsidR="00F51F7C" w:rsidTr="00F51F7C">
        <w:trPr>
          <w:trHeight w:hRule="exact" w:val="567"/>
        </w:trPr>
        <w:tc>
          <w:tcPr>
            <w:tcW w:w="992" w:type="dxa"/>
            <w:vAlign w:val="center"/>
          </w:tcPr>
          <w:p w:rsidR="00F51F7C" w:rsidRDefault="00F51F7C" w:rsidP="00F51F7C">
            <w:pPr>
              <w:spacing w:before="156" w:after="156" w:line="240" w:lineRule="auto"/>
              <w:ind w:firstLineChars="0" w:firstLine="0"/>
              <w:jc w:val="center"/>
            </w:pPr>
            <w:r>
              <w:rPr>
                <w:rFonts w:hint="eastAsia"/>
              </w:rPr>
              <w:t>A4</w:t>
            </w:r>
          </w:p>
        </w:tc>
        <w:tc>
          <w:tcPr>
            <w:tcW w:w="2221" w:type="dxa"/>
            <w:vAlign w:val="center"/>
          </w:tcPr>
          <w:p w:rsidR="00F51F7C" w:rsidRDefault="00F51F7C" w:rsidP="008517A3">
            <w:pPr>
              <w:spacing w:before="156" w:after="156" w:line="240" w:lineRule="auto"/>
              <w:ind w:firstLineChars="0" w:firstLine="0"/>
              <w:jc w:val="center"/>
            </w:pPr>
            <w:r>
              <w:rPr>
                <w:rFonts w:hint="eastAsia"/>
              </w:rPr>
              <w:t>0.</w:t>
            </w:r>
            <w:r w:rsidR="00404034">
              <w:rPr>
                <w:rFonts w:hint="eastAsia"/>
              </w:rPr>
              <w:t>0035</w:t>
            </w:r>
          </w:p>
        </w:tc>
        <w:tc>
          <w:tcPr>
            <w:tcW w:w="2221" w:type="dxa"/>
            <w:vAlign w:val="center"/>
          </w:tcPr>
          <w:p w:rsidR="00F51F7C" w:rsidRDefault="00404034" w:rsidP="00354A9D">
            <w:pPr>
              <w:spacing w:before="156" w:after="156" w:line="240" w:lineRule="auto"/>
              <w:ind w:firstLineChars="0" w:firstLine="0"/>
              <w:jc w:val="center"/>
            </w:pPr>
            <w:r>
              <w:rPr>
                <w:rFonts w:hint="eastAsia"/>
              </w:rPr>
              <w:t>0.003</w:t>
            </w:r>
            <w:r w:rsidR="00354A9D">
              <w:rPr>
                <w:rFonts w:hint="eastAsia"/>
              </w:rPr>
              <w:t>3</w:t>
            </w:r>
          </w:p>
        </w:tc>
        <w:tc>
          <w:tcPr>
            <w:tcW w:w="2221" w:type="dxa"/>
            <w:vAlign w:val="center"/>
          </w:tcPr>
          <w:p w:rsidR="00F51F7C" w:rsidRDefault="00404034" w:rsidP="00354A9D">
            <w:pPr>
              <w:spacing w:before="156" w:after="156" w:line="240" w:lineRule="auto"/>
              <w:ind w:firstLineChars="0" w:firstLine="0"/>
              <w:jc w:val="center"/>
            </w:pPr>
            <w:r>
              <w:rPr>
                <w:rFonts w:hint="eastAsia"/>
              </w:rPr>
              <w:t>0.00</w:t>
            </w:r>
            <w:r w:rsidR="00354A9D">
              <w:rPr>
                <w:rFonts w:hint="eastAsia"/>
              </w:rPr>
              <w:t>29</w:t>
            </w:r>
          </w:p>
        </w:tc>
      </w:tr>
      <w:tr w:rsidR="00F51F7C" w:rsidTr="00F51F7C">
        <w:trPr>
          <w:trHeight w:hRule="exact" w:val="567"/>
        </w:trPr>
        <w:tc>
          <w:tcPr>
            <w:tcW w:w="992" w:type="dxa"/>
            <w:vAlign w:val="center"/>
          </w:tcPr>
          <w:p w:rsidR="00F51F7C" w:rsidRDefault="00F51F7C" w:rsidP="00F51F7C">
            <w:pPr>
              <w:spacing w:before="156" w:after="156" w:line="240" w:lineRule="auto"/>
              <w:ind w:firstLineChars="0" w:firstLine="0"/>
              <w:jc w:val="center"/>
            </w:pPr>
            <w:r>
              <w:rPr>
                <w:rFonts w:hint="eastAsia"/>
              </w:rPr>
              <w:t>A5</w:t>
            </w:r>
          </w:p>
        </w:tc>
        <w:tc>
          <w:tcPr>
            <w:tcW w:w="2221" w:type="dxa"/>
            <w:vAlign w:val="center"/>
          </w:tcPr>
          <w:p w:rsidR="00F51F7C" w:rsidRDefault="00F51F7C" w:rsidP="00A031E2">
            <w:pPr>
              <w:spacing w:before="156" w:after="156" w:line="240" w:lineRule="auto"/>
              <w:ind w:firstLineChars="0" w:firstLine="0"/>
              <w:jc w:val="center"/>
            </w:pPr>
            <w:r>
              <w:rPr>
                <w:rFonts w:hint="eastAsia"/>
              </w:rPr>
              <w:t>0.00</w:t>
            </w:r>
            <w:r w:rsidR="00354A9D">
              <w:rPr>
                <w:rFonts w:hint="eastAsia"/>
              </w:rPr>
              <w:t>0</w:t>
            </w:r>
          </w:p>
        </w:tc>
        <w:tc>
          <w:tcPr>
            <w:tcW w:w="2221" w:type="dxa"/>
            <w:vAlign w:val="center"/>
          </w:tcPr>
          <w:p w:rsidR="00F51F7C" w:rsidRDefault="00404034" w:rsidP="00A031E2">
            <w:pPr>
              <w:spacing w:before="156" w:after="156" w:line="240" w:lineRule="auto"/>
              <w:ind w:firstLineChars="0" w:firstLine="0"/>
              <w:jc w:val="center"/>
            </w:pPr>
            <w:r>
              <w:rPr>
                <w:rFonts w:hint="eastAsia"/>
              </w:rPr>
              <w:t>0.00</w:t>
            </w:r>
            <w:r w:rsidR="00354A9D">
              <w:rPr>
                <w:rFonts w:hint="eastAsia"/>
              </w:rPr>
              <w:t>0</w:t>
            </w:r>
          </w:p>
        </w:tc>
        <w:tc>
          <w:tcPr>
            <w:tcW w:w="2221" w:type="dxa"/>
            <w:vAlign w:val="center"/>
          </w:tcPr>
          <w:p w:rsidR="00F51F7C" w:rsidRDefault="00404034" w:rsidP="008517A3">
            <w:pPr>
              <w:spacing w:before="156" w:after="156" w:line="240" w:lineRule="auto"/>
              <w:ind w:firstLineChars="0" w:firstLine="0"/>
              <w:jc w:val="center"/>
            </w:pPr>
            <w:r>
              <w:rPr>
                <w:rFonts w:hint="eastAsia"/>
              </w:rPr>
              <w:t>0.00</w:t>
            </w:r>
            <w:r w:rsidR="00354A9D">
              <w:rPr>
                <w:rFonts w:hint="eastAsia"/>
              </w:rPr>
              <w:t>0</w:t>
            </w:r>
          </w:p>
        </w:tc>
      </w:tr>
      <w:tr w:rsidR="00F51F7C" w:rsidTr="00F51F7C">
        <w:trPr>
          <w:trHeight w:hRule="exact" w:val="567"/>
        </w:trPr>
        <w:tc>
          <w:tcPr>
            <w:tcW w:w="992" w:type="dxa"/>
            <w:vAlign w:val="center"/>
          </w:tcPr>
          <w:p w:rsidR="00F51F7C" w:rsidRDefault="00F51F7C" w:rsidP="00F51F7C">
            <w:pPr>
              <w:spacing w:before="156" w:after="156" w:line="240" w:lineRule="auto"/>
              <w:ind w:firstLineChars="0" w:firstLine="0"/>
              <w:jc w:val="center"/>
            </w:pPr>
            <w:r>
              <w:rPr>
                <w:rFonts w:hint="eastAsia"/>
              </w:rPr>
              <w:t>A9</w:t>
            </w:r>
          </w:p>
        </w:tc>
        <w:tc>
          <w:tcPr>
            <w:tcW w:w="2221" w:type="dxa"/>
            <w:vAlign w:val="center"/>
          </w:tcPr>
          <w:p w:rsidR="00F51F7C" w:rsidRDefault="00404034" w:rsidP="00354A9D">
            <w:pPr>
              <w:spacing w:before="156" w:after="156" w:line="240" w:lineRule="auto"/>
              <w:ind w:firstLineChars="0" w:firstLine="0"/>
              <w:jc w:val="center"/>
            </w:pPr>
            <w:r>
              <w:rPr>
                <w:rFonts w:hint="eastAsia"/>
              </w:rPr>
              <w:t>1.51</w:t>
            </w:r>
            <w:r w:rsidR="00354A9D">
              <w:rPr>
                <w:rFonts w:hint="eastAsia"/>
              </w:rPr>
              <w:t>5</w:t>
            </w:r>
          </w:p>
        </w:tc>
        <w:tc>
          <w:tcPr>
            <w:tcW w:w="2221" w:type="dxa"/>
            <w:vAlign w:val="center"/>
          </w:tcPr>
          <w:p w:rsidR="00F51F7C" w:rsidRDefault="00404034" w:rsidP="00A031E2">
            <w:pPr>
              <w:spacing w:before="156" w:after="156" w:line="240" w:lineRule="auto"/>
              <w:ind w:firstLineChars="0" w:firstLine="0"/>
              <w:jc w:val="center"/>
            </w:pPr>
            <w:r>
              <w:rPr>
                <w:rFonts w:hint="eastAsia"/>
              </w:rPr>
              <w:t>1.51</w:t>
            </w:r>
            <w:r w:rsidR="00354A9D">
              <w:rPr>
                <w:rFonts w:hint="eastAsia"/>
              </w:rPr>
              <w:t>2</w:t>
            </w:r>
          </w:p>
        </w:tc>
        <w:tc>
          <w:tcPr>
            <w:tcW w:w="2221" w:type="dxa"/>
            <w:vAlign w:val="center"/>
          </w:tcPr>
          <w:p w:rsidR="00F51F7C" w:rsidRDefault="00404034" w:rsidP="008517A3">
            <w:pPr>
              <w:spacing w:before="156" w:after="156" w:line="240" w:lineRule="auto"/>
              <w:ind w:firstLineChars="0" w:firstLine="0"/>
              <w:jc w:val="center"/>
            </w:pPr>
            <w:r>
              <w:rPr>
                <w:rFonts w:hint="eastAsia"/>
              </w:rPr>
              <w:t>1.5</w:t>
            </w:r>
            <w:r w:rsidR="00354A9D">
              <w:rPr>
                <w:rFonts w:hint="eastAsia"/>
              </w:rPr>
              <w:t>06</w:t>
            </w:r>
          </w:p>
        </w:tc>
      </w:tr>
      <w:tr w:rsidR="00F51F7C" w:rsidTr="00F51F7C">
        <w:trPr>
          <w:trHeight w:hRule="exact" w:val="567"/>
        </w:trPr>
        <w:tc>
          <w:tcPr>
            <w:tcW w:w="992" w:type="dxa"/>
            <w:vAlign w:val="center"/>
          </w:tcPr>
          <w:p w:rsidR="00F51F7C" w:rsidRDefault="00F51F7C" w:rsidP="00F51F7C">
            <w:pPr>
              <w:spacing w:before="156" w:after="156" w:line="240" w:lineRule="auto"/>
              <w:ind w:firstLineChars="0" w:firstLine="0"/>
              <w:jc w:val="center"/>
            </w:pPr>
            <w:r>
              <w:rPr>
                <w:rFonts w:hint="eastAsia"/>
              </w:rPr>
              <w:t>A10</w:t>
            </w:r>
          </w:p>
        </w:tc>
        <w:tc>
          <w:tcPr>
            <w:tcW w:w="2221" w:type="dxa"/>
            <w:vAlign w:val="center"/>
          </w:tcPr>
          <w:p w:rsidR="00F51F7C" w:rsidRDefault="00F51F7C" w:rsidP="00A031E2">
            <w:pPr>
              <w:spacing w:before="156" w:after="156" w:line="240" w:lineRule="auto"/>
              <w:ind w:firstLineChars="0" w:firstLine="0"/>
              <w:jc w:val="center"/>
            </w:pPr>
            <w:r>
              <w:rPr>
                <w:rFonts w:hint="eastAsia"/>
              </w:rPr>
              <w:t>0.00</w:t>
            </w:r>
            <w:r w:rsidR="00354A9D">
              <w:rPr>
                <w:rFonts w:hint="eastAsia"/>
              </w:rPr>
              <w:t>0</w:t>
            </w:r>
          </w:p>
        </w:tc>
        <w:tc>
          <w:tcPr>
            <w:tcW w:w="2221" w:type="dxa"/>
            <w:vAlign w:val="center"/>
          </w:tcPr>
          <w:p w:rsidR="00F51F7C" w:rsidRDefault="00404034" w:rsidP="00A031E2">
            <w:pPr>
              <w:spacing w:before="156" w:after="156" w:line="240" w:lineRule="auto"/>
              <w:ind w:firstLineChars="0" w:firstLine="0"/>
              <w:jc w:val="center"/>
            </w:pPr>
            <w:r>
              <w:rPr>
                <w:rFonts w:hint="eastAsia"/>
              </w:rPr>
              <w:t>0.00</w:t>
            </w:r>
            <w:r w:rsidR="00354A9D">
              <w:rPr>
                <w:rFonts w:hint="eastAsia"/>
              </w:rPr>
              <w:t>0</w:t>
            </w:r>
          </w:p>
        </w:tc>
        <w:tc>
          <w:tcPr>
            <w:tcW w:w="2221" w:type="dxa"/>
            <w:vAlign w:val="center"/>
          </w:tcPr>
          <w:p w:rsidR="00F51F7C" w:rsidRDefault="00404034" w:rsidP="008517A3">
            <w:pPr>
              <w:spacing w:before="156" w:after="156" w:line="240" w:lineRule="auto"/>
              <w:ind w:firstLineChars="0" w:firstLine="0"/>
              <w:jc w:val="center"/>
            </w:pPr>
            <w:r>
              <w:rPr>
                <w:rFonts w:hint="eastAsia"/>
              </w:rPr>
              <w:t>0.00</w:t>
            </w:r>
            <w:r w:rsidR="00354A9D">
              <w:rPr>
                <w:rFonts w:hint="eastAsia"/>
              </w:rPr>
              <w:t>0</w:t>
            </w:r>
          </w:p>
        </w:tc>
      </w:tr>
      <w:tr w:rsidR="00F51F7C" w:rsidTr="00F51F7C">
        <w:trPr>
          <w:trHeight w:hRule="exact" w:val="567"/>
        </w:trPr>
        <w:tc>
          <w:tcPr>
            <w:tcW w:w="992" w:type="dxa"/>
            <w:vAlign w:val="center"/>
          </w:tcPr>
          <w:p w:rsidR="00F51F7C" w:rsidRDefault="00F51F7C" w:rsidP="00F51F7C">
            <w:pPr>
              <w:spacing w:before="156" w:after="156" w:line="240" w:lineRule="auto"/>
              <w:ind w:firstLineChars="0" w:firstLine="0"/>
              <w:jc w:val="center"/>
            </w:pPr>
            <w:r>
              <w:rPr>
                <w:rFonts w:hint="eastAsia"/>
              </w:rPr>
              <w:t>A11</w:t>
            </w:r>
          </w:p>
        </w:tc>
        <w:tc>
          <w:tcPr>
            <w:tcW w:w="2221" w:type="dxa"/>
            <w:vAlign w:val="center"/>
          </w:tcPr>
          <w:p w:rsidR="00F51F7C" w:rsidRDefault="00F51F7C" w:rsidP="00A031E2">
            <w:pPr>
              <w:spacing w:before="156" w:after="156" w:line="240" w:lineRule="auto"/>
              <w:ind w:firstLineChars="0" w:firstLine="0"/>
              <w:jc w:val="center"/>
            </w:pPr>
            <w:r>
              <w:rPr>
                <w:rFonts w:hint="eastAsia"/>
              </w:rPr>
              <w:t>0.00</w:t>
            </w:r>
            <w:r w:rsidR="00354A9D">
              <w:rPr>
                <w:rFonts w:hint="eastAsia"/>
              </w:rPr>
              <w:t>0</w:t>
            </w:r>
          </w:p>
        </w:tc>
        <w:tc>
          <w:tcPr>
            <w:tcW w:w="2221" w:type="dxa"/>
            <w:vAlign w:val="center"/>
          </w:tcPr>
          <w:p w:rsidR="00F51F7C" w:rsidRDefault="00404034" w:rsidP="00A031E2">
            <w:pPr>
              <w:spacing w:before="156" w:after="156" w:line="240" w:lineRule="auto"/>
              <w:ind w:firstLineChars="0" w:firstLine="0"/>
              <w:jc w:val="center"/>
            </w:pPr>
            <w:r>
              <w:rPr>
                <w:rFonts w:hint="eastAsia"/>
              </w:rPr>
              <w:t>0.00</w:t>
            </w:r>
            <w:r w:rsidR="00354A9D">
              <w:rPr>
                <w:rFonts w:hint="eastAsia"/>
              </w:rPr>
              <w:t>0</w:t>
            </w:r>
          </w:p>
        </w:tc>
        <w:tc>
          <w:tcPr>
            <w:tcW w:w="2221" w:type="dxa"/>
            <w:vAlign w:val="center"/>
          </w:tcPr>
          <w:p w:rsidR="00F51F7C" w:rsidRDefault="00404034" w:rsidP="008517A3">
            <w:pPr>
              <w:spacing w:before="156" w:after="156" w:line="240" w:lineRule="auto"/>
              <w:ind w:firstLineChars="0" w:firstLine="0"/>
              <w:jc w:val="center"/>
            </w:pPr>
            <w:r>
              <w:rPr>
                <w:rFonts w:hint="eastAsia"/>
              </w:rPr>
              <w:t>0.00</w:t>
            </w:r>
            <w:r w:rsidR="00354A9D">
              <w:rPr>
                <w:rFonts w:hint="eastAsia"/>
              </w:rPr>
              <w:t>0</w:t>
            </w:r>
          </w:p>
        </w:tc>
      </w:tr>
    </w:tbl>
    <w:p w:rsidR="00845831" w:rsidRDefault="00805EC9">
      <w:pPr>
        <w:pStyle w:val="2"/>
        <w:spacing w:before="156" w:after="156"/>
      </w:pPr>
      <w:r>
        <w:rPr>
          <w:rFonts w:hint="eastAsia"/>
        </w:rPr>
        <w:t>8</w:t>
      </w:r>
      <w:r w:rsidR="001B407F">
        <w:rPr>
          <w:rFonts w:hint="eastAsia"/>
        </w:rPr>
        <w:t xml:space="preserve"> </w:t>
      </w:r>
      <w:r w:rsidR="00297B50">
        <w:rPr>
          <w:rFonts w:hint="eastAsia"/>
        </w:rPr>
        <w:t>方法验证</w:t>
      </w:r>
    </w:p>
    <w:p w:rsidR="00845831" w:rsidRDefault="00805EC9">
      <w:pPr>
        <w:pStyle w:val="3"/>
        <w:spacing w:before="156" w:after="156"/>
      </w:pPr>
      <w:r>
        <w:rPr>
          <w:rFonts w:hint="eastAsia"/>
        </w:rPr>
        <w:t>8</w:t>
      </w:r>
      <w:r w:rsidR="00297B50">
        <w:rPr>
          <w:rFonts w:hint="eastAsia"/>
        </w:rPr>
        <w:t xml:space="preserve">.1 </w:t>
      </w:r>
      <w:r w:rsidR="00297B50">
        <w:rPr>
          <w:rFonts w:hint="eastAsia"/>
        </w:rPr>
        <w:t>验证过程</w:t>
      </w:r>
    </w:p>
    <w:p w:rsidR="00845831" w:rsidRDefault="00297B50">
      <w:pPr>
        <w:spacing w:before="156" w:after="156"/>
        <w:ind w:firstLine="480"/>
      </w:pPr>
      <w:r>
        <w:rPr>
          <w:rFonts w:hint="eastAsia"/>
        </w:rPr>
        <w:t>1</w:t>
      </w:r>
      <w:r>
        <w:rPr>
          <w:rFonts w:hint="eastAsia"/>
        </w:rPr>
        <w:t>、内部验证试验：主要研究方法的检出限和回收率和精密度。</w:t>
      </w:r>
    </w:p>
    <w:p w:rsidR="00845831" w:rsidRDefault="00297B50">
      <w:pPr>
        <w:spacing w:before="156" w:after="156"/>
        <w:ind w:firstLine="480"/>
      </w:pPr>
      <w:r>
        <w:rPr>
          <w:rFonts w:hint="eastAsia"/>
        </w:rPr>
        <w:t>2</w:t>
      </w:r>
      <w:r>
        <w:rPr>
          <w:rFonts w:hint="eastAsia"/>
        </w:rPr>
        <w:t>、外部验证试验</w:t>
      </w:r>
    </w:p>
    <w:p w:rsidR="00845831" w:rsidRDefault="00297B50">
      <w:pPr>
        <w:spacing w:before="156" w:after="156"/>
        <w:ind w:firstLine="480"/>
      </w:pPr>
      <w:r>
        <w:rPr>
          <w:rFonts w:hint="eastAsia"/>
        </w:rPr>
        <w:t>（</w:t>
      </w:r>
      <w:r>
        <w:rPr>
          <w:rFonts w:hint="eastAsia"/>
        </w:rPr>
        <w:t>1</w:t>
      </w:r>
      <w:r>
        <w:rPr>
          <w:rFonts w:hint="eastAsia"/>
        </w:rPr>
        <w:t>）确定方法验证单位；</w:t>
      </w:r>
    </w:p>
    <w:p w:rsidR="00845831" w:rsidRDefault="00297B50">
      <w:pPr>
        <w:spacing w:before="156" w:after="156"/>
        <w:ind w:firstLine="480"/>
      </w:pPr>
      <w:r>
        <w:rPr>
          <w:rFonts w:hint="eastAsia"/>
        </w:rPr>
        <w:t>（</w:t>
      </w:r>
      <w:r>
        <w:rPr>
          <w:rFonts w:hint="eastAsia"/>
        </w:rPr>
        <w:t>2</w:t>
      </w:r>
      <w:r>
        <w:rPr>
          <w:rFonts w:hint="eastAsia"/>
        </w:rPr>
        <w:t>）按照方法验证方案准备试验用样品，并与验证单位确定验证时间；</w:t>
      </w:r>
    </w:p>
    <w:p w:rsidR="00845831" w:rsidRDefault="00297B50">
      <w:pPr>
        <w:spacing w:before="156" w:after="156"/>
        <w:ind w:firstLine="480"/>
      </w:pPr>
      <w:r>
        <w:rPr>
          <w:rFonts w:hint="eastAsia"/>
        </w:rPr>
        <w:t>（</w:t>
      </w:r>
      <w:r>
        <w:rPr>
          <w:rFonts w:hint="eastAsia"/>
        </w:rPr>
        <w:t>3</w:t>
      </w:r>
      <w:r>
        <w:rPr>
          <w:rFonts w:hint="eastAsia"/>
        </w:rPr>
        <w:t>）在开展方法验证前，参加方法验证的检测人员应熟悉并掌握方法的原理、操作步骤、注意事项等；</w:t>
      </w:r>
    </w:p>
    <w:p w:rsidR="00845831" w:rsidRDefault="00297B50">
      <w:pPr>
        <w:spacing w:before="156" w:after="156"/>
        <w:ind w:firstLine="480"/>
      </w:pPr>
      <w:r>
        <w:rPr>
          <w:rFonts w:hint="eastAsia"/>
        </w:rPr>
        <w:t>（</w:t>
      </w:r>
      <w:r>
        <w:rPr>
          <w:rFonts w:hint="eastAsia"/>
        </w:rPr>
        <w:t>4</w:t>
      </w:r>
      <w:r>
        <w:rPr>
          <w:rFonts w:hint="eastAsia"/>
        </w:rPr>
        <w:t>）方法验证过程所用的所有试剂、材料、仪器设备以及分析操作步骤均应符合方法的相关要求。</w:t>
      </w:r>
    </w:p>
    <w:p w:rsidR="00845831" w:rsidRDefault="00297B50">
      <w:pPr>
        <w:spacing w:before="156" w:after="156"/>
        <w:ind w:firstLine="480"/>
      </w:pPr>
      <w:r>
        <w:rPr>
          <w:rFonts w:hint="eastAsia"/>
        </w:rPr>
        <w:t>（</w:t>
      </w:r>
      <w:r>
        <w:rPr>
          <w:rFonts w:hint="eastAsia"/>
        </w:rPr>
        <w:t>5</w:t>
      </w:r>
      <w:r>
        <w:rPr>
          <w:rFonts w:hint="eastAsia"/>
        </w:rPr>
        <w:t>）收集实验室间验证数据，综合分析汇总。</w:t>
      </w:r>
    </w:p>
    <w:p w:rsidR="00845831" w:rsidRDefault="00805EC9">
      <w:pPr>
        <w:pStyle w:val="3"/>
        <w:spacing w:before="156" w:after="156"/>
      </w:pPr>
      <w:r>
        <w:rPr>
          <w:rFonts w:hint="eastAsia"/>
        </w:rPr>
        <w:t>8</w:t>
      </w:r>
      <w:r w:rsidR="00297B50">
        <w:rPr>
          <w:rFonts w:hint="eastAsia"/>
        </w:rPr>
        <w:t xml:space="preserve">.2 </w:t>
      </w:r>
      <w:r w:rsidR="00297B50">
        <w:rPr>
          <w:rFonts w:hint="eastAsia"/>
        </w:rPr>
        <w:t>验证方案</w:t>
      </w:r>
    </w:p>
    <w:p w:rsidR="00845831" w:rsidRDefault="00297B50">
      <w:pPr>
        <w:spacing w:before="156" w:after="156"/>
        <w:ind w:firstLine="480"/>
        <w:rPr>
          <w:rFonts w:ascii="宋体" w:hAnsi="宋体"/>
          <w:color w:val="FF0000"/>
        </w:rPr>
      </w:pPr>
      <w:r>
        <w:rPr>
          <w:rFonts w:ascii="宋体" w:hAnsi="宋体" w:hint="eastAsia"/>
        </w:rPr>
        <w:t>根据国家标准制定的相关规定，组织</w:t>
      </w:r>
      <w:r w:rsidR="00467E45">
        <w:rPr>
          <w:rFonts w:hint="eastAsia"/>
        </w:rPr>
        <w:t>3</w:t>
      </w:r>
      <w:r>
        <w:rPr>
          <w:rFonts w:ascii="宋体" w:hAnsi="宋体" w:hint="eastAsia"/>
        </w:rPr>
        <w:t>家有资质的检测实验室进行方法验证，要求参加验证单位，根据影响方法精密度和准确度的主要因素和数理统计学的要求，编制方法验证报告和检测实验报告，验证数据主要包括检出限、精密度和准</w:t>
      </w:r>
      <w:r>
        <w:rPr>
          <w:rFonts w:ascii="宋体" w:hAnsi="宋体" w:hint="eastAsia"/>
        </w:rPr>
        <w:lastRenderedPageBreak/>
        <w:t>确度等，并进行实际样品的检测工作，组织单位对方法验证数据进行综合分析汇总。</w:t>
      </w:r>
    </w:p>
    <w:p w:rsidR="00845831" w:rsidRDefault="00805EC9">
      <w:pPr>
        <w:pStyle w:val="2"/>
        <w:spacing w:before="156" w:after="156"/>
        <w:rPr>
          <w:rStyle w:val="10"/>
          <w:rFonts w:eastAsiaTheme="majorEastAsia" w:cstheme="majorBidi"/>
          <w:b/>
          <w:bCs/>
          <w:kern w:val="2"/>
          <w:sz w:val="28"/>
          <w:szCs w:val="32"/>
        </w:rPr>
      </w:pPr>
      <w:bookmarkStart w:id="0" w:name="_GoBack"/>
      <w:bookmarkEnd w:id="0"/>
      <w:r>
        <w:rPr>
          <w:rStyle w:val="10"/>
          <w:rFonts w:eastAsiaTheme="majorEastAsia" w:cstheme="majorBidi" w:hint="eastAsia"/>
          <w:b/>
          <w:bCs/>
          <w:kern w:val="2"/>
          <w:sz w:val="28"/>
          <w:szCs w:val="32"/>
        </w:rPr>
        <w:t>9</w:t>
      </w:r>
      <w:r w:rsidR="001B407F">
        <w:rPr>
          <w:rStyle w:val="10"/>
          <w:rFonts w:eastAsiaTheme="majorEastAsia" w:cstheme="majorBidi" w:hint="eastAsia"/>
          <w:b/>
          <w:bCs/>
          <w:kern w:val="2"/>
          <w:sz w:val="28"/>
          <w:szCs w:val="32"/>
        </w:rPr>
        <w:t xml:space="preserve"> </w:t>
      </w:r>
      <w:r w:rsidR="00297B50">
        <w:rPr>
          <w:rStyle w:val="10"/>
          <w:rFonts w:eastAsiaTheme="majorEastAsia" w:cstheme="majorBidi"/>
          <w:b/>
          <w:bCs/>
          <w:kern w:val="2"/>
          <w:sz w:val="28"/>
          <w:szCs w:val="32"/>
        </w:rPr>
        <w:t>预期达到的经济效果及</w:t>
      </w:r>
      <w:r w:rsidR="00297B50">
        <w:rPr>
          <w:rFonts w:hint="eastAsia"/>
        </w:rPr>
        <w:t>社会效益：</w:t>
      </w:r>
    </w:p>
    <w:p w:rsidR="00845831" w:rsidRDefault="00805EC9">
      <w:pPr>
        <w:pStyle w:val="3"/>
        <w:spacing w:before="156" w:after="156"/>
      </w:pPr>
      <w:r>
        <w:rPr>
          <w:rFonts w:hint="eastAsia"/>
        </w:rPr>
        <w:t>9</w:t>
      </w:r>
      <w:r w:rsidR="00297B50">
        <w:rPr>
          <w:rFonts w:hint="eastAsia"/>
        </w:rPr>
        <w:t>.1</w:t>
      </w:r>
      <w:r w:rsidR="00297B50">
        <w:rPr>
          <w:rFonts w:hint="eastAsia"/>
        </w:rPr>
        <w:t>经济收益</w:t>
      </w:r>
    </w:p>
    <w:p w:rsidR="00845831" w:rsidRDefault="00297B50">
      <w:pPr>
        <w:spacing w:before="156" w:after="156"/>
        <w:ind w:firstLine="480"/>
      </w:pPr>
      <w:r>
        <w:rPr>
          <w:rFonts w:hint="eastAsia"/>
        </w:rPr>
        <w:t>新型检测技术培训收益，承担上级下达的检测任务的事业收益，对社会上企业和个人的委托检测产生的直接收益，为企业和个人就产品质量问题产生的纠纷进行仲裁、维权的质量鉴定等收益。</w:t>
      </w:r>
    </w:p>
    <w:p w:rsidR="00845831" w:rsidRDefault="00805EC9">
      <w:pPr>
        <w:pStyle w:val="3"/>
        <w:spacing w:before="156" w:after="156"/>
      </w:pPr>
      <w:r>
        <w:rPr>
          <w:rFonts w:hint="eastAsia"/>
        </w:rPr>
        <w:t>9</w:t>
      </w:r>
      <w:r w:rsidR="00297B50">
        <w:rPr>
          <w:rFonts w:hint="eastAsia"/>
        </w:rPr>
        <w:t xml:space="preserve">.2 </w:t>
      </w:r>
      <w:r w:rsidR="00297B50">
        <w:rPr>
          <w:rFonts w:hint="eastAsia"/>
        </w:rPr>
        <w:t>社会效益</w:t>
      </w:r>
    </w:p>
    <w:p w:rsidR="00845831" w:rsidRDefault="00297B50">
      <w:pPr>
        <w:spacing w:before="156" w:after="156"/>
        <w:ind w:firstLine="480"/>
      </w:pPr>
      <w:r>
        <w:t>本标准建立的</w:t>
      </w:r>
      <w:r>
        <w:rPr>
          <w:rFonts w:hint="eastAsia"/>
        </w:rPr>
        <w:t>肥料</w:t>
      </w:r>
      <w:r>
        <w:t>中赤霉</w:t>
      </w:r>
      <w:r>
        <w:rPr>
          <w:rFonts w:hint="eastAsia"/>
        </w:rPr>
        <w:t>酸定量</w:t>
      </w:r>
      <w:r>
        <w:t>检测技术方法，可用于鉴别肥料中隐性添加的</w:t>
      </w:r>
      <w:r>
        <w:rPr>
          <w:rFonts w:hint="eastAsia"/>
        </w:rPr>
        <w:t>赤霉酸</w:t>
      </w:r>
      <w:r>
        <w:t>成分的检测，</w:t>
      </w:r>
      <w:r>
        <w:rPr>
          <w:rFonts w:ascii="宋体" w:hAnsi="宋体" w:cs="宋体" w:hint="eastAsia"/>
          <w:color w:val="000000"/>
        </w:rPr>
        <w:t>可以完善产品标准以及方法标准体系，可以及时为政府对新型肥料产品质量安全监管工作提供技术基础</w:t>
      </w:r>
      <w:r>
        <w:rPr>
          <w:rFonts w:hint="eastAsia"/>
        </w:rPr>
        <w:t>，</w:t>
      </w:r>
      <w:r>
        <w:t>对于保证肥料产品质量以及安全使用具有积极意义，有良好的应用前景。</w:t>
      </w:r>
    </w:p>
    <w:p w:rsidR="00845831" w:rsidRDefault="00297B50">
      <w:pPr>
        <w:spacing w:before="156" w:after="156"/>
        <w:ind w:firstLine="480"/>
        <w:rPr>
          <w:rFonts w:ascii="宋体" w:hAnsi="宋体" w:cs="宋体"/>
          <w:color w:val="000000"/>
        </w:rPr>
      </w:pPr>
      <w:r>
        <w:rPr>
          <w:rFonts w:hint="eastAsia"/>
        </w:rPr>
        <w:t>提高我国植物生长调节剂质量检验水平，对肥料产品质量的严格监督检验，规范肥料市场，使肥料企业对肥料质量引起高度重视，控制了非法添加植物生长调节剂肥料产品的生产和使用。</w:t>
      </w:r>
      <w:r>
        <w:rPr>
          <w:rFonts w:ascii="宋体" w:hAnsi="宋体" w:cs="宋体" w:hint="eastAsia"/>
          <w:color w:val="000000"/>
        </w:rPr>
        <w:t>将进一步促进肥料产品质量的提升，保障产品质量安全，严控风险，带动肥料行业的整体健康、快速发展</w:t>
      </w:r>
      <w:r>
        <w:rPr>
          <w:rFonts w:hint="eastAsia"/>
        </w:rPr>
        <w:t>保障了企业的长期生存。</w:t>
      </w:r>
    </w:p>
    <w:p w:rsidR="00845831" w:rsidRDefault="00297B50">
      <w:pPr>
        <w:spacing w:before="156" w:after="156"/>
        <w:ind w:firstLine="480"/>
        <w:jc w:val="left"/>
        <w:rPr>
          <w:rFonts w:ascii="宋体" w:hAnsi="宋体" w:cs="宋体"/>
          <w:color w:val="000000"/>
        </w:rPr>
      </w:pPr>
      <w:r>
        <w:t>避免因使用不当或过量使用带来的</w:t>
      </w:r>
      <w:r>
        <w:t>“</w:t>
      </w:r>
      <w:r>
        <w:t>药害</w:t>
      </w:r>
      <w:r>
        <w:t>”</w:t>
      </w:r>
      <w:r>
        <w:t>损失，保证农产品的产品质量安全，保障农民的合法利</w:t>
      </w:r>
      <w:r>
        <w:rPr>
          <w:rFonts w:hint="eastAsia"/>
        </w:rPr>
        <w:t>。</w:t>
      </w:r>
      <w:r>
        <w:rPr>
          <w:rFonts w:ascii="宋体" w:hAnsi="宋体" w:cs="宋体" w:hint="eastAsia"/>
          <w:color w:val="000000"/>
        </w:rPr>
        <w:t>该标准的建立有助于将安全的肥料产品投入到农田，为土壤健康提供了保障，对确保粮食安全具有重要的意义，也</w:t>
      </w:r>
      <w:r>
        <w:rPr>
          <w:rFonts w:hint="eastAsia"/>
        </w:rPr>
        <w:t>为食品安全提供有力的源头保障。</w:t>
      </w:r>
    </w:p>
    <w:p w:rsidR="00845831" w:rsidRDefault="00297B50">
      <w:pPr>
        <w:pStyle w:val="1"/>
        <w:spacing w:before="156" w:after="156"/>
      </w:pPr>
      <w:r>
        <w:rPr>
          <w:rFonts w:hint="eastAsia"/>
        </w:rPr>
        <w:t>四、采用国际标准和国外先进标准的程度，以及与国际、国外同类标准水平的对比情况，或与测试的国外样品、样机的有关数据对比情况；</w:t>
      </w:r>
    </w:p>
    <w:p w:rsidR="00845831" w:rsidRDefault="00297B50">
      <w:pPr>
        <w:spacing w:before="156" w:after="156"/>
        <w:ind w:firstLine="480"/>
      </w:pPr>
      <w:r>
        <w:rPr>
          <w:rFonts w:hint="eastAsia"/>
        </w:rPr>
        <w:t>编制本标准前详细查阅了国内外标准发布部门的相关信息，至标准编制之日尚未发现与计划编制标准相类同或相似标准。</w:t>
      </w:r>
    </w:p>
    <w:p w:rsidR="00845831" w:rsidRDefault="00297B50">
      <w:pPr>
        <w:pStyle w:val="1"/>
        <w:spacing w:before="156" w:after="156"/>
      </w:pPr>
      <w:r>
        <w:rPr>
          <w:rFonts w:hint="eastAsia"/>
        </w:rPr>
        <w:lastRenderedPageBreak/>
        <w:t>五、与有关的现行法律、法规和强制性国家标准的关系；</w:t>
      </w:r>
    </w:p>
    <w:p w:rsidR="00845831" w:rsidRDefault="00297B50">
      <w:pPr>
        <w:spacing w:before="156" w:after="156"/>
        <w:ind w:firstLine="480"/>
      </w:pPr>
      <w:r>
        <w:rPr>
          <w:rFonts w:hint="eastAsia"/>
        </w:rPr>
        <w:t>本标准符合现行法律、法规和规章的要求，与其它相关标准之间不存在矛盾之处。本标准的制定会进一步推动肥料行业的规范与成熟，为行业的健康发展提供必要的依据。</w:t>
      </w:r>
    </w:p>
    <w:p w:rsidR="00845831" w:rsidRDefault="00297B50">
      <w:pPr>
        <w:pStyle w:val="1"/>
        <w:spacing w:before="156" w:after="156"/>
      </w:pPr>
      <w:r>
        <w:rPr>
          <w:rFonts w:hint="eastAsia"/>
        </w:rPr>
        <w:t>六、</w:t>
      </w:r>
      <w:r>
        <w:t>重大分歧意见的处理经过和依据；</w:t>
      </w:r>
    </w:p>
    <w:p w:rsidR="00845831" w:rsidRDefault="00297B50">
      <w:pPr>
        <w:spacing w:before="156" w:after="156"/>
        <w:ind w:firstLine="480"/>
      </w:pPr>
      <w:r>
        <w:rPr>
          <w:rFonts w:hint="eastAsia"/>
        </w:rPr>
        <w:t>无。</w:t>
      </w:r>
    </w:p>
    <w:p w:rsidR="00845831" w:rsidRDefault="00297B50">
      <w:pPr>
        <w:pStyle w:val="1"/>
        <w:spacing w:before="156" w:after="156"/>
      </w:pPr>
      <w:r>
        <w:rPr>
          <w:rFonts w:hint="eastAsia"/>
        </w:rPr>
        <w:t>七、</w:t>
      </w:r>
      <w:r>
        <w:t>标准性质的建议说明；</w:t>
      </w:r>
    </w:p>
    <w:p w:rsidR="00845831" w:rsidRPr="006110BF" w:rsidRDefault="00297B50">
      <w:pPr>
        <w:spacing w:before="156" w:after="156"/>
        <w:ind w:firstLine="480"/>
        <w:rPr>
          <w:rFonts w:ascii="宋体" w:hAnsi="宋体" w:cs="宋体"/>
          <w:color w:val="000000"/>
        </w:rPr>
      </w:pPr>
      <w:r w:rsidRPr="006110BF">
        <w:rPr>
          <w:rFonts w:ascii="宋体" w:hAnsi="宋体" w:cs="宋体" w:hint="eastAsia"/>
          <w:color w:val="000000"/>
        </w:rPr>
        <w:t>本标准为方法标准，标准属性建议为推荐性标准。</w:t>
      </w:r>
    </w:p>
    <w:p w:rsidR="00845831" w:rsidRDefault="00297B50">
      <w:pPr>
        <w:pStyle w:val="1"/>
        <w:spacing w:before="156" w:after="156"/>
      </w:pPr>
      <w:r>
        <w:rPr>
          <w:rFonts w:hint="eastAsia"/>
        </w:rPr>
        <w:t>八、</w:t>
      </w:r>
      <w:r>
        <w:t>贯彻标准的要求和措施建议（包括组织措施、技术措施、过度办法、实施日期等）；</w:t>
      </w:r>
    </w:p>
    <w:p w:rsidR="00845831" w:rsidRDefault="00297B50">
      <w:pPr>
        <w:spacing w:before="156" w:after="156"/>
        <w:ind w:firstLine="480"/>
      </w:pPr>
      <w:r>
        <w:rPr>
          <w:rFonts w:hint="eastAsia"/>
        </w:rPr>
        <w:t>为了贯彻好本标准，使其有效发挥作用，建议在标准发布后，在全国肥料行业进行宣传与贯彻，建议政府管理部门将该产品标准作为对肥料的质量保证和相关部门对肥料的检验和验收参考依据，以使肥料产业健康有序发展。</w:t>
      </w:r>
    </w:p>
    <w:p w:rsidR="00845831" w:rsidRDefault="00297B50">
      <w:pPr>
        <w:spacing w:before="156" w:after="156"/>
        <w:ind w:firstLine="480"/>
      </w:pPr>
      <w:r>
        <w:t>组织措施</w:t>
      </w:r>
      <w:r>
        <w:rPr>
          <w:rFonts w:hint="eastAsia"/>
        </w:rPr>
        <w:t>及技术措施：</w:t>
      </w:r>
      <w:r>
        <w:t>多形式开展培训活动，通过举办培训知识讲座，现场技术指导，邀请专家课堂讲授，资料函授和互联网等开展技术培训。</w:t>
      </w:r>
    </w:p>
    <w:p w:rsidR="00845831" w:rsidRDefault="00297B50">
      <w:pPr>
        <w:pStyle w:val="1"/>
        <w:spacing w:before="156" w:after="156"/>
      </w:pPr>
      <w:r>
        <w:rPr>
          <w:rFonts w:hint="eastAsia"/>
        </w:rPr>
        <w:t>九、</w:t>
      </w:r>
      <w:r>
        <w:t>废止现行相关标准的建议；</w:t>
      </w:r>
    </w:p>
    <w:p w:rsidR="00845831" w:rsidRDefault="00297B50">
      <w:pPr>
        <w:spacing w:before="156" w:after="156"/>
        <w:ind w:firstLine="480"/>
      </w:pPr>
      <w:r>
        <w:t>该标准</w:t>
      </w:r>
      <w:r>
        <w:rPr>
          <w:rFonts w:hint="eastAsia"/>
        </w:rPr>
        <w:t>为首次制定，</w:t>
      </w:r>
      <w:r>
        <w:t>与现行国家标准和行业标准协调一致，</w:t>
      </w:r>
      <w:r>
        <w:rPr>
          <w:rFonts w:hint="eastAsia"/>
        </w:rPr>
        <w:t>不涉及标准废止的建议。</w:t>
      </w:r>
    </w:p>
    <w:p w:rsidR="00845831" w:rsidRDefault="00297B50">
      <w:pPr>
        <w:pStyle w:val="1"/>
        <w:spacing w:before="156" w:after="156"/>
        <w:rPr>
          <w:rStyle w:val="10"/>
        </w:rPr>
      </w:pPr>
      <w:r>
        <w:t>十</w:t>
      </w:r>
      <w:r>
        <w:rPr>
          <w:rFonts w:hint="eastAsia"/>
        </w:rPr>
        <w:t>、</w:t>
      </w:r>
      <w:r>
        <w:t>其它应予说明的事项。</w:t>
      </w:r>
    </w:p>
    <w:p w:rsidR="00845831" w:rsidRDefault="00297B50">
      <w:pPr>
        <w:spacing w:before="156" w:after="156"/>
        <w:ind w:firstLine="480"/>
        <w:jc w:val="left"/>
      </w:pPr>
      <w:r>
        <w:rPr>
          <w:rFonts w:hint="eastAsia"/>
        </w:rPr>
        <w:t>无。</w:t>
      </w:r>
    </w:p>
    <w:p w:rsidR="00845831" w:rsidRDefault="00845831">
      <w:pPr>
        <w:spacing w:before="156" w:after="156"/>
        <w:ind w:firstLine="480"/>
        <w:jc w:val="right"/>
      </w:pPr>
    </w:p>
    <w:sectPr w:rsidR="00845831" w:rsidSect="00135B63">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EB1" w:rsidRDefault="007A4EB1">
      <w:pPr>
        <w:spacing w:before="120" w:after="120" w:line="240" w:lineRule="auto"/>
        <w:ind w:firstLine="480"/>
      </w:pPr>
      <w:r>
        <w:separator/>
      </w:r>
    </w:p>
  </w:endnote>
  <w:endnote w:type="continuationSeparator" w:id="0">
    <w:p w:rsidR="007A4EB1" w:rsidRDefault="007A4EB1">
      <w:pPr>
        <w:spacing w:before="120" w:after="12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TimesNewRomanPSMT">
    <w:altName w:val="MS Gothic"/>
    <w:charset w:val="80"/>
    <w:family w:val="auto"/>
    <w:pitch w:val="default"/>
    <w:sig w:usb0="00000000" w:usb1="00000000" w:usb2="00000000" w:usb3="00000000" w:csb0="00020000" w:csb1="00000000"/>
  </w:font>
  <w:font w:name="FSJ0+ZLWKMn-4">
    <w:altName w:val="Times New Roman"/>
    <w:charset w:val="00"/>
    <w:family w:val="roman"/>
    <w:pitch w:val="default"/>
  </w:font>
  <w:font w:name="E-BZ+ZLWKMm-1">
    <w:altName w:val="Times New Roman"/>
    <w:charset w:val="00"/>
    <w:family w:val="roman"/>
    <w:pitch w:val="default"/>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831" w:rsidRDefault="00845831">
    <w:pPr>
      <w:pStyle w:val="af"/>
      <w:spacing w:before="120" w:after="120"/>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831" w:rsidRDefault="00845831">
    <w:pPr>
      <w:pStyle w:val="af"/>
      <w:spacing w:before="120" w:after="120"/>
      <w:ind w:firstLineChars="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831" w:rsidRDefault="00845831">
    <w:pPr>
      <w:pStyle w:val="af"/>
      <w:spacing w:before="120" w:after="120"/>
      <w:ind w:firstLineChars="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EB1" w:rsidRDefault="007A4EB1">
      <w:pPr>
        <w:spacing w:before="120" w:after="120" w:line="240" w:lineRule="auto"/>
        <w:ind w:firstLine="480"/>
      </w:pPr>
      <w:r>
        <w:separator/>
      </w:r>
    </w:p>
  </w:footnote>
  <w:footnote w:type="continuationSeparator" w:id="0">
    <w:p w:rsidR="007A4EB1" w:rsidRDefault="007A4EB1">
      <w:pPr>
        <w:spacing w:before="120" w:after="12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831" w:rsidRDefault="00845831">
    <w:pPr>
      <w:pStyle w:val="af1"/>
      <w:spacing w:before="120" w:after="12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831" w:rsidRDefault="00845831" w:rsidP="00522015">
    <w:pPr>
      <w:pStyle w:val="af1"/>
      <w:pBdr>
        <w:bottom w:val="none" w:sz="0" w:space="0" w:color="auto"/>
      </w:pBdr>
      <w:spacing w:before="120" w:after="120"/>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831" w:rsidRDefault="00845831">
    <w:pPr>
      <w:pStyle w:val="af1"/>
      <w:spacing w:before="120" w:after="120"/>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1418"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4C8"/>
    <w:rsid w:val="00013D32"/>
    <w:rsid w:val="00014017"/>
    <w:rsid w:val="0001503F"/>
    <w:rsid w:val="00015B6D"/>
    <w:rsid w:val="00016E74"/>
    <w:rsid w:val="00020B10"/>
    <w:rsid w:val="000220FB"/>
    <w:rsid w:val="00027C7E"/>
    <w:rsid w:val="000309AB"/>
    <w:rsid w:val="00037CE0"/>
    <w:rsid w:val="000445AC"/>
    <w:rsid w:val="00052EFE"/>
    <w:rsid w:val="0005466B"/>
    <w:rsid w:val="00064EF1"/>
    <w:rsid w:val="00074888"/>
    <w:rsid w:val="00081503"/>
    <w:rsid w:val="00096A2A"/>
    <w:rsid w:val="000A010E"/>
    <w:rsid w:val="000A72E4"/>
    <w:rsid w:val="000B1344"/>
    <w:rsid w:val="000B335C"/>
    <w:rsid w:val="000B3573"/>
    <w:rsid w:val="000C44B5"/>
    <w:rsid w:val="000C617F"/>
    <w:rsid w:val="000C6F4D"/>
    <w:rsid w:val="000D4B37"/>
    <w:rsid w:val="000E4442"/>
    <w:rsid w:val="000E4E2A"/>
    <w:rsid w:val="000F3A20"/>
    <w:rsid w:val="0010158E"/>
    <w:rsid w:val="00102BB8"/>
    <w:rsid w:val="001034C8"/>
    <w:rsid w:val="00107B60"/>
    <w:rsid w:val="001252D5"/>
    <w:rsid w:val="00133B72"/>
    <w:rsid w:val="0013558A"/>
    <w:rsid w:val="00135B63"/>
    <w:rsid w:val="00141DB4"/>
    <w:rsid w:val="00153F0A"/>
    <w:rsid w:val="00160297"/>
    <w:rsid w:val="00161113"/>
    <w:rsid w:val="0016299E"/>
    <w:rsid w:val="001669B2"/>
    <w:rsid w:val="0019182B"/>
    <w:rsid w:val="00191D9E"/>
    <w:rsid w:val="00193BEB"/>
    <w:rsid w:val="0019464B"/>
    <w:rsid w:val="001971E7"/>
    <w:rsid w:val="001A2391"/>
    <w:rsid w:val="001A7BBE"/>
    <w:rsid w:val="001B1444"/>
    <w:rsid w:val="001B333C"/>
    <w:rsid w:val="001B407F"/>
    <w:rsid w:val="001B55CC"/>
    <w:rsid w:val="001B5F62"/>
    <w:rsid w:val="001C07F5"/>
    <w:rsid w:val="001D1ABF"/>
    <w:rsid w:val="001D5CF3"/>
    <w:rsid w:val="001D7438"/>
    <w:rsid w:val="001E0D51"/>
    <w:rsid w:val="001F776D"/>
    <w:rsid w:val="002078B7"/>
    <w:rsid w:val="00212BF7"/>
    <w:rsid w:val="00216653"/>
    <w:rsid w:val="0022022B"/>
    <w:rsid w:val="0022116B"/>
    <w:rsid w:val="002224F1"/>
    <w:rsid w:val="00223A91"/>
    <w:rsid w:val="00226AD3"/>
    <w:rsid w:val="00233380"/>
    <w:rsid w:val="00242DB5"/>
    <w:rsid w:val="00243490"/>
    <w:rsid w:val="002445D9"/>
    <w:rsid w:val="00260317"/>
    <w:rsid w:val="00265050"/>
    <w:rsid w:val="00270A5F"/>
    <w:rsid w:val="0028561A"/>
    <w:rsid w:val="0028625A"/>
    <w:rsid w:val="00287A92"/>
    <w:rsid w:val="002939A8"/>
    <w:rsid w:val="0029481F"/>
    <w:rsid w:val="00297B50"/>
    <w:rsid w:val="002A0412"/>
    <w:rsid w:val="002A1546"/>
    <w:rsid w:val="002A160C"/>
    <w:rsid w:val="002A51B2"/>
    <w:rsid w:val="002B04B3"/>
    <w:rsid w:val="002B14BF"/>
    <w:rsid w:val="002B6D80"/>
    <w:rsid w:val="002D7F13"/>
    <w:rsid w:val="002E1E6F"/>
    <w:rsid w:val="002E2B61"/>
    <w:rsid w:val="002E7D11"/>
    <w:rsid w:val="002F0A3C"/>
    <w:rsid w:val="002F5645"/>
    <w:rsid w:val="003179C7"/>
    <w:rsid w:val="00331CDA"/>
    <w:rsid w:val="00343F62"/>
    <w:rsid w:val="00344593"/>
    <w:rsid w:val="003474D2"/>
    <w:rsid w:val="00350B1C"/>
    <w:rsid w:val="00353DC3"/>
    <w:rsid w:val="003540A0"/>
    <w:rsid w:val="00354A9D"/>
    <w:rsid w:val="003574E0"/>
    <w:rsid w:val="00360CD3"/>
    <w:rsid w:val="00373CA2"/>
    <w:rsid w:val="00374745"/>
    <w:rsid w:val="00376A9A"/>
    <w:rsid w:val="00377DA0"/>
    <w:rsid w:val="00392F3C"/>
    <w:rsid w:val="003A4FCF"/>
    <w:rsid w:val="003A568B"/>
    <w:rsid w:val="003B693B"/>
    <w:rsid w:val="003B7A8B"/>
    <w:rsid w:val="003C0E68"/>
    <w:rsid w:val="003C51BA"/>
    <w:rsid w:val="003D4D6F"/>
    <w:rsid w:val="003E065B"/>
    <w:rsid w:val="003E26B7"/>
    <w:rsid w:val="003E332F"/>
    <w:rsid w:val="003E7C64"/>
    <w:rsid w:val="003F7952"/>
    <w:rsid w:val="003F7D8F"/>
    <w:rsid w:val="00404034"/>
    <w:rsid w:val="00404AA3"/>
    <w:rsid w:val="0040590B"/>
    <w:rsid w:val="00410745"/>
    <w:rsid w:val="004204B0"/>
    <w:rsid w:val="004304E5"/>
    <w:rsid w:val="004537F2"/>
    <w:rsid w:val="00465A0E"/>
    <w:rsid w:val="00467E45"/>
    <w:rsid w:val="00487A14"/>
    <w:rsid w:val="00487DF3"/>
    <w:rsid w:val="004A33C5"/>
    <w:rsid w:val="004B2462"/>
    <w:rsid w:val="004B7550"/>
    <w:rsid w:val="004C0E4D"/>
    <w:rsid w:val="004C1E69"/>
    <w:rsid w:val="004D4B07"/>
    <w:rsid w:val="004D573D"/>
    <w:rsid w:val="004E3959"/>
    <w:rsid w:val="004E72F9"/>
    <w:rsid w:val="004F162D"/>
    <w:rsid w:val="005037A0"/>
    <w:rsid w:val="00507963"/>
    <w:rsid w:val="005102F1"/>
    <w:rsid w:val="0051481F"/>
    <w:rsid w:val="00516279"/>
    <w:rsid w:val="00522015"/>
    <w:rsid w:val="0052239F"/>
    <w:rsid w:val="005223F6"/>
    <w:rsid w:val="00537A34"/>
    <w:rsid w:val="005419AD"/>
    <w:rsid w:val="005419B4"/>
    <w:rsid w:val="00542C7D"/>
    <w:rsid w:val="0054490D"/>
    <w:rsid w:val="005677EF"/>
    <w:rsid w:val="00571B76"/>
    <w:rsid w:val="00571E58"/>
    <w:rsid w:val="005808BE"/>
    <w:rsid w:val="00592063"/>
    <w:rsid w:val="005922FE"/>
    <w:rsid w:val="00595D4D"/>
    <w:rsid w:val="00596894"/>
    <w:rsid w:val="005A6224"/>
    <w:rsid w:val="005C74F4"/>
    <w:rsid w:val="005E24F8"/>
    <w:rsid w:val="005E3389"/>
    <w:rsid w:val="005E36BD"/>
    <w:rsid w:val="005E428A"/>
    <w:rsid w:val="005F1C38"/>
    <w:rsid w:val="005F7BF7"/>
    <w:rsid w:val="00603400"/>
    <w:rsid w:val="00603705"/>
    <w:rsid w:val="0060523E"/>
    <w:rsid w:val="0061008E"/>
    <w:rsid w:val="006110BF"/>
    <w:rsid w:val="00612FC1"/>
    <w:rsid w:val="00630070"/>
    <w:rsid w:val="0063096A"/>
    <w:rsid w:val="006321E3"/>
    <w:rsid w:val="006374D5"/>
    <w:rsid w:val="00641972"/>
    <w:rsid w:val="00642A15"/>
    <w:rsid w:val="00647686"/>
    <w:rsid w:val="00660EBF"/>
    <w:rsid w:val="00661FC3"/>
    <w:rsid w:val="00667E4F"/>
    <w:rsid w:val="006702A1"/>
    <w:rsid w:val="00670362"/>
    <w:rsid w:val="006733BF"/>
    <w:rsid w:val="006814CD"/>
    <w:rsid w:val="006826C2"/>
    <w:rsid w:val="006833E8"/>
    <w:rsid w:val="00685D95"/>
    <w:rsid w:val="006A0128"/>
    <w:rsid w:val="006A09C3"/>
    <w:rsid w:val="006A27CD"/>
    <w:rsid w:val="006B58F8"/>
    <w:rsid w:val="006C4968"/>
    <w:rsid w:val="006D1A26"/>
    <w:rsid w:val="006E0827"/>
    <w:rsid w:val="006E199E"/>
    <w:rsid w:val="006E531D"/>
    <w:rsid w:val="00706601"/>
    <w:rsid w:val="00714703"/>
    <w:rsid w:val="007244DB"/>
    <w:rsid w:val="00726770"/>
    <w:rsid w:val="00727ABA"/>
    <w:rsid w:val="00730D42"/>
    <w:rsid w:val="007407B0"/>
    <w:rsid w:val="007420F5"/>
    <w:rsid w:val="00755A46"/>
    <w:rsid w:val="007571B7"/>
    <w:rsid w:val="007574F8"/>
    <w:rsid w:val="0075761E"/>
    <w:rsid w:val="00770003"/>
    <w:rsid w:val="0077288D"/>
    <w:rsid w:val="007735C9"/>
    <w:rsid w:val="007822C0"/>
    <w:rsid w:val="0078252F"/>
    <w:rsid w:val="00783E68"/>
    <w:rsid w:val="0079595D"/>
    <w:rsid w:val="007A4EB1"/>
    <w:rsid w:val="007A7506"/>
    <w:rsid w:val="007B4EB9"/>
    <w:rsid w:val="007C138F"/>
    <w:rsid w:val="007C4A4A"/>
    <w:rsid w:val="007D0CFA"/>
    <w:rsid w:val="007F3EA8"/>
    <w:rsid w:val="00805B37"/>
    <w:rsid w:val="00805EC9"/>
    <w:rsid w:val="008114EC"/>
    <w:rsid w:val="008130CD"/>
    <w:rsid w:val="00827CF0"/>
    <w:rsid w:val="008302B8"/>
    <w:rsid w:val="008356E2"/>
    <w:rsid w:val="00845831"/>
    <w:rsid w:val="008517A3"/>
    <w:rsid w:val="0085514A"/>
    <w:rsid w:val="00863181"/>
    <w:rsid w:val="008716CE"/>
    <w:rsid w:val="00871E67"/>
    <w:rsid w:val="008759CB"/>
    <w:rsid w:val="00883A15"/>
    <w:rsid w:val="00887988"/>
    <w:rsid w:val="0089386A"/>
    <w:rsid w:val="0089397A"/>
    <w:rsid w:val="008A5180"/>
    <w:rsid w:val="008A7696"/>
    <w:rsid w:val="008B1BE2"/>
    <w:rsid w:val="008B1C53"/>
    <w:rsid w:val="008B7ED8"/>
    <w:rsid w:val="008C3F39"/>
    <w:rsid w:val="008E0E83"/>
    <w:rsid w:val="008E3E81"/>
    <w:rsid w:val="00904A2E"/>
    <w:rsid w:val="009050E8"/>
    <w:rsid w:val="00910298"/>
    <w:rsid w:val="00920FE4"/>
    <w:rsid w:val="009339C0"/>
    <w:rsid w:val="009344D7"/>
    <w:rsid w:val="00937736"/>
    <w:rsid w:val="00944BEE"/>
    <w:rsid w:val="00953292"/>
    <w:rsid w:val="00962EFD"/>
    <w:rsid w:val="00964046"/>
    <w:rsid w:val="00966006"/>
    <w:rsid w:val="00976BD0"/>
    <w:rsid w:val="00977689"/>
    <w:rsid w:val="00977838"/>
    <w:rsid w:val="00993C9D"/>
    <w:rsid w:val="009A1ACF"/>
    <w:rsid w:val="009A6E62"/>
    <w:rsid w:val="009B0BF3"/>
    <w:rsid w:val="009B5F4F"/>
    <w:rsid w:val="009C1778"/>
    <w:rsid w:val="009C1C0D"/>
    <w:rsid w:val="009C5613"/>
    <w:rsid w:val="009D4534"/>
    <w:rsid w:val="009E1F9D"/>
    <w:rsid w:val="009E7A2E"/>
    <w:rsid w:val="00A04DA5"/>
    <w:rsid w:val="00A17BD9"/>
    <w:rsid w:val="00A246A8"/>
    <w:rsid w:val="00A24AA6"/>
    <w:rsid w:val="00A24FD4"/>
    <w:rsid w:val="00A257BD"/>
    <w:rsid w:val="00A316D4"/>
    <w:rsid w:val="00A31EF0"/>
    <w:rsid w:val="00A3331B"/>
    <w:rsid w:val="00A43849"/>
    <w:rsid w:val="00A46529"/>
    <w:rsid w:val="00A51845"/>
    <w:rsid w:val="00A6355E"/>
    <w:rsid w:val="00A66FD7"/>
    <w:rsid w:val="00A73DBA"/>
    <w:rsid w:val="00A76DF5"/>
    <w:rsid w:val="00A92A08"/>
    <w:rsid w:val="00AB51CF"/>
    <w:rsid w:val="00AD181B"/>
    <w:rsid w:val="00AD2252"/>
    <w:rsid w:val="00AD33F2"/>
    <w:rsid w:val="00AD7E6D"/>
    <w:rsid w:val="00AF4A49"/>
    <w:rsid w:val="00B0195A"/>
    <w:rsid w:val="00B01ADD"/>
    <w:rsid w:val="00B03F6C"/>
    <w:rsid w:val="00B05BF6"/>
    <w:rsid w:val="00B13E82"/>
    <w:rsid w:val="00B14065"/>
    <w:rsid w:val="00B1555B"/>
    <w:rsid w:val="00B24681"/>
    <w:rsid w:val="00B25467"/>
    <w:rsid w:val="00B329EA"/>
    <w:rsid w:val="00B4646D"/>
    <w:rsid w:val="00B5142D"/>
    <w:rsid w:val="00B51461"/>
    <w:rsid w:val="00B64684"/>
    <w:rsid w:val="00B72288"/>
    <w:rsid w:val="00B7724F"/>
    <w:rsid w:val="00B8374C"/>
    <w:rsid w:val="00B849FD"/>
    <w:rsid w:val="00B87F7C"/>
    <w:rsid w:val="00B93615"/>
    <w:rsid w:val="00B94FE6"/>
    <w:rsid w:val="00B95F6E"/>
    <w:rsid w:val="00B972E2"/>
    <w:rsid w:val="00BA1E74"/>
    <w:rsid w:val="00BA3A7D"/>
    <w:rsid w:val="00BA56BD"/>
    <w:rsid w:val="00BB7FF9"/>
    <w:rsid w:val="00BC5162"/>
    <w:rsid w:val="00BE13AF"/>
    <w:rsid w:val="00BE5C8C"/>
    <w:rsid w:val="00BF138E"/>
    <w:rsid w:val="00BF5A89"/>
    <w:rsid w:val="00BF6076"/>
    <w:rsid w:val="00C00453"/>
    <w:rsid w:val="00C01C28"/>
    <w:rsid w:val="00C01F6E"/>
    <w:rsid w:val="00C15CCC"/>
    <w:rsid w:val="00C162E2"/>
    <w:rsid w:val="00C323BA"/>
    <w:rsid w:val="00C34851"/>
    <w:rsid w:val="00C424DC"/>
    <w:rsid w:val="00C43557"/>
    <w:rsid w:val="00C46212"/>
    <w:rsid w:val="00C50252"/>
    <w:rsid w:val="00C502AF"/>
    <w:rsid w:val="00C63608"/>
    <w:rsid w:val="00C70C06"/>
    <w:rsid w:val="00C865FC"/>
    <w:rsid w:val="00CA4832"/>
    <w:rsid w:val="00CA4C8B"/>
    <w:rsid w:val="00CA51A3"/>
    <w:rsid w:val="00CB41F0"/>
    <w:rsid w:val="00CC28DB"/>
    <w:rsid w:val="00CD0F51"/>
    <w:rsid w:val="00CD2169"/>
    <w:rsid w:val="00CE129D"/>
    <w:rsid w:val="00CE15E8"/>
    <w:rsid w:val="00CF1ADB"/>
    <w:rsid w:val="00D019D0"/>
    <w:rsid w:val="00D04F31"/>
    <w:rsid w:val="00D05E03"/>
    <w:rsid w:val="00D11430"/>
    <w:rsid w:val="00D167E1"/>
    <w:rsid w:val="00D23F1D"/>
    <w:rsid w:val="00D268A6"/>
    <w:rsid w:val="00D27D24"/>
    <w:rsid w:val="00D30869"/>
    <w:rsid w:val="00D30E8A"/>
    <w:rsid w:val="00D32ACA"/>
    <w:rsid w:val="00D375EE"/>
    <w:rsid w:val="00D414C7"/>
    <w:rsid w:val="00D43E5B"/>
    <w:rsid w:val="00D51299"/>
    <w:rsid w:val="00D519A8"/>
    <w:rsid w:val="00D54288"/>
    <w:rsid w:val="00D557D1"/>
    <w:rsid w:val="00D56148"/>
    <w:rsid w:val="00D57632"/>
    <w:rsid w:val="00D621BD"/>
    <w:rsid w:val="00D62E8B"/>
    <w:rsid w:val="00D63D92"/>
    <w:rsid w:val="00D662BF"/>
    <w:rsid w:val="00D82DB6"/>
    <w:rsid w:val="00D877F2"/>
    <w:rsid w:val="00D90B98"/>
    <w:rsid w:val="00D9228B"/>
    <w:rsid w:val="00D92944"/>
    <w:rsid w:val="00DA0695"/>
    <w:rsid w:val="00DA365D"/>
    <w:rsid w:val="00DA5986"/>
    <w:rsid w:val="00DB42F8"/>
    <w:rsid w:val="00DB58E6"/>
    <w:rsid w:val="00DC5BE6"/>
    <w:rsid w:val="00DD41D4"/>
    <w:rsid w:val="00DE431C"/>
    <w:rsid w:val="00DF498C"/>
    <w:rsid w:val="00DF63B2"/>
    <w:rsid w:val="00DF6722"/>
    <w:rsid w:val="00E03367"/>
    <w:rsid w:val="00E05AB2"/>
    <w:rsid w:val="00E12828"/>
    <w:rsid w:val="00E323C9"/>
    <w:rsid w:val="00E36F5E"/>
    <w:rsid w:val="00E44386"/>
    <w:rsid w:val="00E452EE"/>
    <w:rsid w:val="00E55BA3"/>
    <w:rsid w:val="00E60692"/>
    <w:rsid w:val="00E63958"/>
    <w:rsid w:val="00E66512"/>
    <w:rsid w:val="00E671D6"/>
    <w:rsid w:val="00E813E2"/>
    <w:rsid w:val="00E84878"/>
    <w:rsid w:val="00E86D72"/>
    <w:rsid w:val="00E9003E"/>
    <w:rsid w:val="00E93196"/>
    <w:rsid w:val="00EA4FEB"/>
    <w:rsid w:val="00EB20B6"/>
    <w:rsid w:val="00EB2B5E"/>
    <w:rsid w:val="00EB400E"/>
    <w:rsid w:val="00ED171F"/>
    <w:rsid w:val="00ED6E5D"/>
    <w:rsid w:val="00EF7136"/>
    <w:rsid w:val="00F01A1E"/>
    <w:rsid w:val="00F01CBB"/>
    <w:rsid w:val="00F02E4E"/>
    <w:rsid w:val="00F03643"/>
    <w:rsid w:val="00F070F6"/>
    <w:rsid w:val="00F11215"/>
    <w:rsid w:val="00F13623"/>
    <w:rsid w:val="00F13C3D"/>
    <w:rsid w:val="00F13F12"/>
    <w:rsid w:val="00F176C0"/>
    <w:rsid w:val="00F2211A"/>
    <w:rsid w:val="00F23C31"/>
    <w:rsid w:val="00F26628"/>
    <w:rsid w:val="00F26888"/>
    <w:rsid w:val="00F301E2"/>
    <w:rsid w:val="00F3082E"/>
    <w:rsid w:val="00F44BCD"/>
    <w:rsid w:val="00F518D3"/>
    <w:rsid w:val="00F51AFC"/>
    <w:rsid w:val="00F51BB0"/>
    <w:rsid w:val="00F51F7C"/>
    <w:rsid w:val="00F528AE"/>
    <w:rsid w:val="00F53059"/>
    <w:rsid w:val="00F62110"/>
    <w:rsid w:val="00F71965"/>
    <w:rsid w:val="00F73287"/>
    <w:rsid w:val="00F8133D"/>
    <w:rsid w:val="00F911E5"/>
    <w:rsid w:val="00F92926"/>
    <w:rsid w:val="00F9297A"/>
    <w:rsid w:val="00F97466"/>
    <w:rsid w:val="00FA7CA6"/>
    <w:rsid w:val="00FC0E20"/>
    <w:rsid w:val="00FC5DE0"/>
    <w:rsid w:val="00FC636D"/>
    <w:rsid w:val="00FD01AC"/>
    <w:rsid w:val="00FD0D58"/>
    <w:rsid w:val="00FD788E"/>
    <w:rsid w:val="00FE0E42"/>
    <w:rsid w:val="00FE33FD"/>
    <w:rsid w:val="00FE3E3B"/>
    <w:rsid w:val="00FE7166"/>
    <w:rsid w:val="00FF5A1C"/>
    <w:rsid w:val="1D452F0E"/>
    <w:rsid w:val="702944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A87F30D3-BC5A-44E0-8C79-0A286297C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135B63"/>
    <w:pPr>
      <w:widowControl w:val="0"/>
      <w:spacing w:beforeLines="50" w:afterLines="50" w:line="360" w:lineRule="auto"/>
      <w:ind w:firstLineChars="200" w:firstLine="960"/>
      <w:jc w:val="both"/>
    </w:pPr>
    <w:rPr>
      <w:rFonts w:ascii="Times New Roman" w:eastAsia="仿宋" w:hAnsi="Times New Roman" w:cs="Times New Roman"/>
      <w:kern w:val="2"/>
      <w:sz w:val="24"/>
      <w:szCs w:val="24"/>
    </w:rPr>
  </w:style>
  <w:style w:type="paragraph" w:styleId="1">
    <w:name w:val="heading 1"/>
    <w:basedOn w:val="a5"/>
    <w:next w:val="a5"/>
    <w:link w:val="10"/>
    <w:uiPriority w:val="9"/>
    <w:qFormat/>
    <w:rsid w:val="00135B63"/>
    <w:pPr>
      <w:keepNext/>
      <w:keepLines/>
      <w:spacing w:line="240" w:lineRule="auto"/>
      <w:ind w:firstLineChars="0" w:firstLine="0"/>
      <w:outlineLvl w:val="0"/>
    </w:pPr>
    <w:rPr>
      <w:rFonts w:eastAsiaTheme="minorEastAsia"/>
      <w:b/>
      <w:bCs/>
      <w:kern w:val="44"/>
      <w:sz w:val="30"/>
      <w:szCs w:val="44"/>
    </w:rPr>
  </w:style>
  <w:style w:type="paragraph" w:styleId="2">
    <w:name w:val="heading 2"/>
    <w:basedOn w:val="a5"/>
    <w:next w:val="a5"/>
    <w:link w:val="20"/>
    <w:uiPriority w:val="9"/>
    <w:unhideWhenUsed/>
    <w:qFormat/>
    <w:rsid w:val="00135B63"/>
    <w:pPr>
      <w:keepNext/>
      <w:keepLines/>
      <w:ind w:firstLineChars="0" w:firstLine="0"/>
      <w:outlineLvl w:val="1"/>
    </w:pPr>
    <w:rPr>
      <w:rFonts w:eastAsiaTheme="majorEastAsia" w:cstheme="majorBidi"/>
      <w:b/>
      <w:bCs/>
      <w:sz w:val="28"/>
      <w:szCs w:val="32"/>
    </w:rPr>
  </w:style>
  <w:style w:type="paragraph" w:styleId="3">
    <w:name w:val="heading 3"/>
    <w:basedOn w:val="a5"/>
    <w:next w:val="a5"/>
    <w:link w:val="30"/>
    <w:uiPriority w:val="9"/>
    <w:unhideWhenUsed/>
    <w:qFormat/>
    <w:rsid w:val="00135B63"/>
    <w:pPr>
      <w:keepNext/>
      <w:keepLines/>
      <w:ind w:firstLineChars="0" w:firstLine="0"/>
      <w:outlineLvl w:val="2"/>
    </w:pPr>
    <w:rPr>
      <w:b/>
      <w:bCs/>
      <w:szCs w:val="3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Body Text"/>
    <w:basedOn w:val="a5"/>
    <w:link w:val="aa"/>
    <w:uiPriority w:val="99"/>
    <w:qFormat/>
    <w:rsid w:val="00135B63"/>
    <w:pPr>
      <w:spacing w:beforeLines="0" w:afterLines="0"/>
      <w:ind w:firstLineChars="0" w:firstLine="0"/>
    </w:pPr>
  </w:style>
  <w:style w:type="paragraph" w:styleId="ab">
    <w:name w:val="Date"/>
    <w:basedOn w:val="a5"/>
    <w:next w:val="a5"/>
    <w:link w:val="ac"/>
    <w:uiPriority w:val="99"/>
    <w:qFormat/>
    <w:rsid w:val="00135B63"/>
    <w:pPr>
      <w:spacing w:beforeLines="0" w:afterLines="0"/>
      <w:ind w:leftChars="2500" w:left="100" w:firstLineChars="0" w:firstLine="0"/>
    </w:pPr>
  </w:style>
  <w:style w:type="paragraph" w:styleId="ad">
    <w:name w:val="Balloon Text"/>
    <w:basedOn w:val="a5"/>
    <w:link w:val="ae"/>
    <w:uiPriority w:val="99"/>
    <w:unhideWhenUsed/>
    <w:qFormat/>
    <w:rsid w:val="00135B63"/>
    <w:pPr>
      <w:spacing w:line="240" w:lineRule="auto"/>
    </w:pPr>
    <w:rPr>
      <w:sz w:val="18"/>
      <w:szCs w:val="18"/>
    </w:rPr>
  </w:style>
  <w:style w:type="paragraph" w:styleId="af">
    <w:name w:val="footer"/>
    <w:basedOn w:val="a5"/>
    <w:link w:val="af0"/>
    <w:uiPriority w:val="99"/>
    <w:unhideWhenUsed/>
    <w:rsid w:val="00135B63"/>
    <w:pPr>
      <w:tabs>
        <w:tab w:val="center" w:pos="4153"/>
        <w:tab w:val="right" w:pos="8306"/>
      </w:tabs>
      <w:snapToGrid w:val="0"/>
      <w:spacing w:line="240" w:lineRule="auto"/>
      <w:jc w:val="left"/>
    </w:pPr>
    <w:rPr>
      <w:sz w:val="18"/>
      <w:szCs w:val="18"/>
    </w:rPr>
  </w:style>
  <w:style w:type="paragraph" w:styleId="af1">
    <w:name w:val="header"/>
    <w:basedOn w:val="a5"/>
    <w:link w:val="af2"/>
    <w:uiPriority w:val="99"/>
    <w:unhideWhenUsed/>
    <w:qFormat/>
    <w:rsid w:val="00135B63"/>
    <w:pPr>
      <w:pBdr>
        <w:bottom w:val="single" w:sz="6" w:space="1" w:color="auto"/>
      </w:pBdr>
      <w:tabs>
        <w:tab w:val="center" w:pos="4153"/>
        <w:tab w:val="right" w:pos="8306"/>
      </w:tabs>
      <w:snapToGrid w:val="0"/>
      <w:spacing w:line="240" w:lineRule="auto"/>
      <w:jc w:val="center"/>
    </w:pPr>
    <w:rPr>
      <w:sz w:val="18"/>
      <w:szCs w:val="18"/>
    </w:rPr>
  </w:style>
  <w:style w:type="paragraph" w:styleId="af3">
    <w:name w:val="Normal (Web)"/>
    <w:basedOn w:val="a5"/>
    <w:uiPriority w:val="99"/>
    <w:unhideWhenUsed/>
    <w:qFormat/>
    <w:rsid w:val="00135B63"/>
    <w:pPr>
      <w:widowControl/>
      <w:spacing w:beforeLines="0" w:beforeAutospacing="1" w:afterLines="0" w:afterAutospacing="1" w:line="240" w:lineRule="auto"/>
      <w:ind w:firstLineChars="0" w:firstLine="0"/>
      <w:jc w:val="left"/>
    </w:pPr>
    <w:rPr>
      <w:rFonts w:ascii="宋体" w:hAnsi="宋体" w:cs="宋体"/>
      <w:kern w:val="0"/>
    </w:rPr>
  </w:style>
  <w:style w:type="character" w:styleId="af4">
    <w:name w:val="Emphasis"/>
    <w:basedOn w:val="a6"/>
    <w:uiPriority w:val="20"/>
    <w:qFormat/>
    <w:rsid w:val="00135B63"/>
    <w:rPr>
      <w:i/>
      <w:iCs/>
    </w:rPr>
  </w:style>
  <w:style w:type="character" w:styleId="af5">
    <w:name w:val="Hyperlink"/>
    <w:basedOn w:val="a6"/>
    <w:uiPriority w:val="99"/>
    <w:unhideWhenUsed/>
    <w:qFormat/>
    <w:rsid w:val="00135B63"/>
    <w:rPr>
      <w:color w:val="0000FF"/>
      <w:u w:val="single"/>
    </w:rPr>
  </w:style>
  <w:style w:type="table" w:styleId="af6">
    <w:name w:val="Table Grid"/>
    <w:basedOn w:val="a7"/>
    <w:uiPriority w:val="59"/>
    <w:qFormat/>
    <w:rsid w:val="0013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列出段落1"/>
    <w:basedOn w:val="a5"/>
    <w:uiPriority w:val="34"/>
    <w:qFormat/>
    <w:rsid w:val="00135B63"/>
    <w:pPr>
      <w:ind w:firstLine="420"/>
    </w:pPr>
  </w:style>
  <w:style w:type="character" w:customStyle="1" w:styleId="10">
    <w:name w:val="标题 1 字符"/>
    <w:basedOn w:val="a6"/>
    <w:link w:val="1"/>
    <w:uiPriority w:val="9"/>
    <w:qFormat/>
    <w:rsid w:val="00135B63"/>
    <w:rPr>
      <w:rFonts w:ascii="Times New Roman" w:eastAsiaTheme="minorEastAsia" w:hAnsi="Times New Roman" w:cs="Times New Roman"/>
      <w:b/>
      <w:bCs/>
      <w:kern w:val="44"/>
      <w:sz w:val="30"/>
      <w:szCs w:val="44"/>
    </w:rPr>
  </w:style>
  <w:style w:type="character" w:customStyle="1" w:styleId="20">
    <w:name w:val="标题 2 字符"/>
    <w:basedOn w:val="a6"/>
    <w:link w:val="2"/>
    <w:uiPriority w:val="9"/>
    <w:qFormat/>
    <w:rsid w:val="00135B63"/>
    <w:rPr>
      <w:rFonts w:ascii="Times New Roman" w:eastAsiaTheme="majorEastAsia" w:hAnsi="Times New Roman" w:cstheme="majorBidi"/>
      <w:b/>
      <w:bCs/>
      <w:sz w:val="28"/>
      <w:szCs w:val="32"/>
    </w:rPr>
  </w:style>
  <w:style w:type="character" w:customStyle="1" w:styleId="30">
    <w:name w:val="标题 3 字符"/>
    <w:basedOn w:val="a6"/>
    <w:link w:val="3"/>
    <w:uiPriority w:val="9"/>
    <w:qFormat/>
    <w:rsid w:val="00135B63"/>
    <w:rPr>
      <w:rFonts w:ascii="Times New Roman" w:eastAsia="宋体" w:hAnsi="Times New Roman" w:cs="Times New Roman"/>
      <w:b/>
      <w:bCs/>
      <w:sz w:val="24"/>
      <w:szCs w:val="32"/>
    </w:rPr>
  </w:style>
  <w:style w:type="character" w:customStyle="1" w:styleId="ae">
    <w:name w:val="批注框文本 字符"/>
    <w:basedOn w:val="a6"/>
    <w:link w:val="ad"/>
    <w:uiPriority w:val="99"/>
    <w:semiHidden/>
    <w:rsid w:val="00135B63"/>
    <w:rPr>
      <w:rFonts w:ascii="Times New Roman" w:eastAsia="宋体" w:hAnsi="Times New Roman" w:cs="Times New Roman"/>
      <w:sz w:val="18"/>
      <w:szCs w:val="18"/>
    </w:rPr>
  </w:style>
  <w:style w:type="character" w:customStyle="1" w:styleId="af2">
    <w:name w:val="页眉 字符"/>
    <w:basedOn w:val="a6"/>
    <w:link w:val="af1"/>
    <w:uiPriority w:val="99"/>
    <w:qFormat/>
    <w:rsid w:val="00135B63"/>
    <w:rPr>
      <w:rFonts w:ascii="Times New Roman" w:eastAsia="宋体" w:hAnsi="Times New Roman" w:cs="Times New Roman"/>
      <w:sz w:val="18"/>
      <w:szCs w:val="18"/>
    </w:rPr>
  </w:style>
  <w:style w:type="character" w:customStyle="1" w:styleId="af0">
    <w:name w:val="页脚 字符"/>
    <w:basedOn w:val="a6"/>
    <w:link w:val="af"/>
    <w:uiPriority w:val="99"/>
    <w:qFormat/>
    <w:rsid w:val="00135B63"/>
    <w:rPr>
      <w:rFonts w:ascii="Times New Roman" w:eastAsia="宋体" w:hAnsi="Times New Roman" w:cs="Times New Roman"/>
      <w:sz w:val="18"/>
      <w:szCs w:val="18"/>
    </w:rPr>
  </w:style>
  <w:style w:type="paragraph" w:customStyle="1" w:styleId="reader-word-layer">
    <w:name w:val="reader-word-layer"/>
    <w:basedOn w:val="a5"/>
    <w:qFormat/>
    <w:rsid w:val="00135B63"/>
    <w:pPr>
      <w:widowControl/>
      <w:spacing w:beforeLines="0" w:beforeAutospacing="1" w:afterLines="0" w:afterAutospacing="1" w:line="240" w:lineRule="auto"/>
      <w:ind w:firstLineChars="0" w:firstLine="0"/>
      <w:jc w:val="left"/>
    </w:pPr>
    <w:rPr>
      <w:rFonts w:ascii="宋体" w:hAnsi="宋体" w:cs="宋体"/>
      <w:kern w:val="0"/>
    </w:rPr>
  </w:style>
  <w:style w:type="character" w:customStyle="1" w:styleId="apple-converted-space">
    <w:name w:val="apple-converted-space"/>
    <w:basedOn w:val="a6"/>
    <w:qFormat/>
    <w:rsid w:val="00135B63"/>
  </w:style>
  <w:style w:type="paragraph" w:customStyle="1" w:styleId="af7">
    <w:name w:val="段"/>
    <w:link w:val="Char"/>
    <w:qFormat/>
    <w:rsid w:val="00135B63"/>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
    <w:name w:val="段 Char"/>
    <w:link w:val="af7"/>
    <w:qFormat/>
    <w:rsid w:val="00135B63"/>
    <w:rPr>
      <w:rFonts w:ascii="宋体" w:eastAsia="宋体" w:hAnsi="Times New Roman" w:cs="Times New Roman"/>
      <w:kern w:val="0"/>
      <w:szCs w:val="20"/>
    </w:rPr>
  </w:style>
  <w:style w:type="paragraph" w:customStyle="1" w:styleId="a0">
    <w:name w:val="一级条标题"/>
    <w:next w:val="af7"/>
    <w:qFormat/>
    <w:rsid w:val="00135B63"/>
    <w:pPr>
      <w:numPr>
        <w:ilvl w:val="1"/>
        <w:numId w:val="1"/>
      </w:numPr>
      <w:spacing w:beforeLines="50" w:afterLines="50"/>
      <w:outlineLvl w:val="2"/>
    </w:pPr>
    <w:rPr>
      <w:rFonts w:ascii="黑体" w:eastAsia="黑体" w:hAnsi="Times New Roman" w:cs="Times New Roman"/>
      <w:sz w:val="21"/>
      <w:szCs w:val="21"/>
    </w:rPr>
  </w:style>
  <w:style w:type="paragraph" w:customStyle="1" w:styleId="a">
    <w:name w:val="章标题"/>
    <w:next w:val="af7"/>
    <w:qFormat/>
    <w:rsid w:val="00135B63"/>
    <w:pPr>
      <w:numPr>
        <w:numId w:val="1"/>
      </w:numPr>
      <w:spacing w:beforeLines="100" w:afterLines="100"/>
      <w:jc w:val="both"/>
      <w:outlineLvl w:val="1"/>
    </w:pPr>
    <w:rPr>
      <w:rFonts w:ascii="黑体" w:eastAsia="黑体" w:hAnsi="Times New Roman" w:cs="Times New Roman"/>
      <w:sz w:val="21"/>
    </w:rPr>
  </w:style>
  <w:style w:type="paragraph" w:customStyle="1" w:styleId="a1">
    <w:name w:val="二级条标题"/>
    <w:basedOn w:val="a0"/>
    <w:next w:val="af7"/>
    <w:qFormat/>
    <w:rsid w:val="00135B63"/>
    <w:pPr>
      <w:numPr>
        <w:ilvl w:val="2"/>
      </w:numPr>
      <w:spacing w:before="50" w:after="50"/>
      <w:outlineLvl w:val="3"/>
    </w:pPr>
  </w:style>
  <w:style w:type="paragraph" w:customStyle="1" w:styleId="a2">
    <w:name w:val="三级条标题"/>
    <w:basedOn w:val="a1"/>
    <w:next w:val="af7"/>
    <w:qFormat/>
    <w:rsid w:val="00135B63"/>
    <w:pPr>
      <w:numPr>
        <w:ilvl w:val="3"/>
      </w:numPr>
      <w:outlineLvl w:val="4"/>
    </w:pPr>
  </w:style>
  <w:style w:type="paragraph" w:customStyle="1" w:styleId="a3">
    <w:name w:val="四级条标题"/>
    <w:basedOn w:val="a2"/>
    <w:next w:val="af7"/>
    <w:qFormat/>
    <w:rsid w:val="00135B63"/>
    <w:pPr>
      <w:numPr>
        <w:ilvl w:val="4"/>
      </w:numPr>
      <w:outlineLvl w:val="5"/>
    </w:pPr>
  </w:style>
  <w:style w:type="paragraph" w:customStyle="1" w:styleId="a4">
    <w:name w:val="五级条标题"/>
    <w:basedOn w:val="a3"/>
    <w:next w:val="af7"/>
    <w:qFormat/>
    <w:rsid w:val="00135B63"/>
    <w:pPr>
      <w:numPr>
        <w:ilvl w:val="5"/>
      </w:numPr>
      <w:outlineLvl w:val="6"/>
    </w:pPr>
  </w:style>
  <w:style w:type="character" w:customStyle="1" w:styleId="aa">
    <w:name w:val="正文文本 字符"/>
    <w:basedOn w:val="a6"/>
    <w:link w:val="a9"/>
    <w:uiPriority w:val="99"/>
    <w:qFormat/>
    <w:rsid w:val="00135B63"/>
    <w:rPr>
      <w:rFonts w:ascii="Times New Roman" w:eastAsia="宋体" w:hAnsi="Times New Roman" w:cs="Times New Roman"/>
      <w:sz w:val="24"/>
      <w:szCs w:val="24"/>
    </w:rPr>
  </w:style>
  <w:style w:type="character" w:customStyle="1" w:styleId="ac">
    <w:name w:val="日期 字符"/>
    <w:basedOn w:val="a6"/>
    <w:link w:val="ab"/>
    <w:uiPriority w:val="99"/>
    <w:qFormat/>
    <w:rsid w:val="00135B63"/>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aidu.com/link?url=e8gaEXDanv5xqMqtJatNz_UhJLr-GwCKdm42dH7cGTU37etEBf9l3gsDRAf9ptBxF86lGSNIizwUebSL9My7ea"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baidu.com/link?url=e8gaEXDanv5xqMqtJatNz_UhJLr-GwCKdm42dH7cGTU37etEBf9l3gsDRAf9ptBxF86lGSNIizwUebSL9My7ea"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72C7C7-AE02-4B21-8B80-7C077CED9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1712</Words>
  <Characters>9764</Characters>
  <Application>Microsoft Office Word</Application>
  <DocSecurity>0</DocSecurity>
  <Lines>81</Lines>
  <Paragraphs>22</Paragraphs>
  <ScaleCrop>false</ScaleCrop>
  <Company>Microsoft</Company>
  <LinksUpToDate>false</LinksUpToDate>
  <CharactersWithSpaces>11454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杨一</dc:creator>
  <cp:lastModifiedBy>yy</cp:lastModifiedBy>
  <cp:revision>2</cp:revision>
  <cp:lastPrinted>2017-08-20T09:58:00Z</cp:lastPrinted>
  <dcterms:created xsi:type="dcterms:W3CDTF">2017-11-10T03:01:00Z</dcterms:created>
  <dcterms:modified xsi:type="dcterms:W3CDTF">2017-11-10T03:01:00Z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